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方正小标宋简体" w:eastAsia="方正小标宋简体" w:cs="方正小标宋简体"/>
          <w:bCs/>
          <w:sz w:val="44"/>
          <w:szCs w:val="44"/>
        </w:rPr>
      </w:pPr>
      <w:bookmarkStart w:id="0" w:name="_GoBack"/>
      <w:bookmarkEnd w:id="0"/>
      <w:r>
        <w:rPr>
          <w:rFonts w:hint="eastAsia" w:ascii="方正小标宋简体" w:hAnsi="方正小标宋简体" w:eastAsia="方正小标宋简体" w:cs="方正小标宋简体"/>
          <w:bCs/>
          <w:sz w:val="44"/>
          <w:szCs w:val="44"/>
        </w:rPr>
        <w:t>2020年河南省高等职业教育技能大赛</w:t>
      </w:r>
    </w:p>
    <w:p>
      <w:pPr>
        <w:widowControl/>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健康与社会照护赛项竞赛方案</w:t>
      </w:r>
    </w:p>
    <w:p>
      <w:pPr>
        <w:rPr>
          <w:rFonts w:asciiTheme="minorEastAsia" w:hAnsiTheme="minorEastAsia"/>
          <w:sz w:val="28"/>
          <w:szCs w:val="28"/>
        </w:rPr>
      </w:pPr>
    </w:p>
    <w:p>
      <w:pPr>
        <w:ind w:firstLine="600" w:firstLineChars="200"/>
        <w:rPr>
          <w:rFonts w:ascii="黑体" w:hAnsi="黑体" w:eastAsia="黑体" w:cs="黑体"/>
          <w:bCs/>
          <w:sz w:val="30"/>
          <w:szCs w:val="30"/>
        </w:rPr>
      </w:pPr>
      <w:r>
        <w:rPr>
          <w:rFonts w:hint="eastAsia" w:ascii="黑体" w:hAnsi="黑体" w:eastAsia="黑体" w:cs="黑体"/>
          <w:bCs/>
          <w:sz w:val="30"/>
          <w:szCs w:val="30"/>
        </w:rPr>
        <w:t>一、赛项名称及承办院校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赛项编号：GZ-2020015</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赛项名称：健康与社会照护</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赛项组别：高职组</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赛项归属产业：健康产业</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承办院校：南阳医学高等专科学校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报到及住宿地点：另行通知。</w:t>
      </w:r>
    </w:p>
    <w:p>
      <w:pPr>
        <w:ind w:firstLine="600" w:firstLineChars="200"/>
        <w:rPr>
          <w:rFonts w:ascii="黑体" w:hAnsi="黑体" w:eastAsia="黑体" w:cs="黑体"/>
          <w:bCs/>
          <w:sz w:val="30"/>
          <w:szCs w:val="30"/>
        </w:rPr>
      </w:pPr>
      <w:r>
        <w:rPr>
          <w:rFonts w:hint="eastAsia" w:ascii="黑体" w:hAnsi="黑体" w:eastAsia="黑体" w:cs="黑体"/>
          <w:bCs/>
          <w:sz w:val="30"/>
          <w:szCs w:val="30"/>
        </w:rPr>
        <w:t>二、竞赛目的</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次技能大赛以推动落实《国家职业教育改革实施方案》，以世界技能大赛为引领，“以赛促教、以赛促改、赛教融合、赛训融合”，对接国际、行业等标准，遵循安全、质量、公平、廉洁的原则，以培养选拔世界技能大赛选手和促进职业教育高质量发展为目标，综合考核参赛选手在健康和社会照护方面的能力，达到选拔、储备、培养优秀的技术技能型人才，示范并促进职业院校教育制度创新，促进职业教育高质量发展。</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（一）检验高等职业院校教学成果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本次大赛以“人”为中心实现整体照护服务，以此理念检验高等职业院校教育教学成果与其服务人群的契合度，检验供给侧与行业、产业需求的融合度，检验深化产教融合、校企合作、现代学徒制等建设成果。</w:t>
      </w:r>
    </w:p>
    <w:p>
      <w:pPr>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楷体_GB2312" w:hAnsi="楷体_GB2312" w:eastAsia="楷体_GB2312" w:cs="楷体_GB2312"/>
          <w:bCs/>
          <w:sz w:val="30"/>
          <w:szCs w:val="30"/>
        </w:rPr>
        <w:t>（二）深化专业融合发展，促进教学改革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健康与社会照护赛项与医护行业相关度高，通过大赛引领职业院校适应行业、产业的发展趋势，加快专业人才培养模式改革，以需求为导向，深化与所服务的人群与行业及产业深度融合，提升学生创新思维、创造能力、实践能力、解决问题等能力，加快服务社会需求的步伐。为健康中国贡献力量。</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（三）瞄准世界高水平，提升职业者综合能力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世界技能大赛健康与社会服务赛项是以“人”为中心的整体照护，使从业者在各种环境中工作，能够给服务对象提供健康管理和对其成长与发展、照护和康复的支持。本次大赛吸纳世界技能大赛“健康与社会照护”相关技术标准，结合我国实际，突出世界技能大赛的核心知识点、考核点和组织形式。对参赛选手知识技能、责任、体力、精力、耐力进行综合考验。在贴近真实照护环境下，参赛选手利用有限的时间，突出以“服务对象”为中心，既要动手操作，更要注重过程沟通交流；既要高质量完成任务，又要确保安全照护；既要注意完成某项任务的点，更要注重整体照护的面。</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（四）营造崇尚技能的社会氛围</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通过大赛让更多人了解职业技能的专业性和实际贡献，营造尊重劳动、崇尚技能的浓厚氛围，让更多青年走技能成才之路。</w:t>
      </w:r>
    </w:p>
    <w:p>
      <w:pPr>
        <w:ind w:firstLine="600" w:firstLineChars="200"/>
        <w:rPr>
          <w:rFonts w:ascii="黑体" w:hAnsi="黑体" w:eastAsia="黑体" w:cs="黑体"/>
          <w:bCs/>
          <w:sz w:val="30"/>
          <w:szCs w:val="30"/>
        </w:rPr>
      </w:pPr>
      <w:r>
        <w:rPr>
          <w:rFonts w:hint="eastAsia" w:ascii="黑体" w:hAnsi="黑体" w:eastAsia="黑体" w:cs="黑体"/>
          <w:bCs/>
          <w:sz w:val="30"/>
          <w:szCs w:val="30"/>
        </w:rPr>
        <w:t>三、竞赛内容</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健康与社会照护赛项是指参赛者在不同场合，包括医院、长期照护中心、日间照护中心以及家庭，直接为需要的人群提供专业支持，通过评估、计划、实施和评价等，确保促进他们的生理和心理健康、疾病康复，并改善其生活质量，使其整体照护需求得到满足。通过理论学习和实践操作，掌握健康与社会照护需要的知识和技能。同时，因为健康与社会照护的对象是“人”，从业者不仅需要提升组织管理能力、沟通和人际交往能力、解决问题等能力，还需要具备灵活性、创新性，以及用同情心去理解和激励他人的能力。为此，本赛项根据选手应具备的六个方面能力及不同场景下完成整体照护，设定医院、长期照护中心、日间照护中心以及家庭四个竞赛模块。</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（一）选手应具备的六个方面能力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1.工作中的组织与管理能力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•遵循健康、安全、卫生标准、规则、法规</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•采取适当的卫生措施预防感染</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•识别和使用适当的制服和个人防护服（包括安全鞋）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•正确选择、有效使用并安全储存材料</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•根据条例安全储存药物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•根据需要计划、安排工作及重新分配优先顺序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•确保工作实践安全且符合工效学</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•以环保的方式处理废弃物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•高效与他人协作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•及时了解新的实践和规则（如运动安全、健康与安全）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2.沟通和人际交往能力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•对服务对象保持专业而敏锐的观察能力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•真诚、谨慎地与服务对象合作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•保持良好的职业行为，包括外貌</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•在合适的情境下，与服务对象进行开放式或闭合式交流，建立和谐关系</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•尊重服务对象有接受和拒绝照护的自主性和权力，始终对服务对象诚实</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•尊重服务对象的文化和宗教信仰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•照护过程中采用治疗性沟通方式，包括：主动倾听、提问技巧、解读非语言信号以及采用合适的教育方法</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•指导服务对象学会新的“生活技能”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•以专业的方法与有沟通或理解障碍的服务对象沟通</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•以适当的方式与服务对象家属进行专业有效的沟通，确保以服务对象需求为中心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•与同事、医务人员、服务对象及其家属讨论以寻求最合适的照护类型和水平，同时满足服务对象的自主性和需求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•与同事保持一贯有效的口头和书面沟通</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•用正确的格式记录服务对象信息（如沟通簿和记录单）以专业方式讨论和描述服务对象的案例。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3.解决问题、创新和创造能力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•重视服务对象，感兴趣并深入了解其性格特征</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•取得服务对象信任，使其愿意讨论他们的问题</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•迅速认识问题并自主解决问题</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•通过仔细的结构化的讨论、询问和观察，找出服务对象问题的根本原因</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•根据具体情况的要求，主动地变更服务对象问题的优先顺序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•在解决服务对象问题过程中，认清自己的专业能力和权力的限制，适当参考同事和其他专业人士的意见</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•创新、发展、讨论出新的安全的工作方式以改善服务对象的生活质量和幸福程度（如利用辅助工具来改善服务对象活动性）</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•识别机会并主动提出改进服务对象照护的想法，例如，通过一种新的方式有效地利用服务对象的环境，通过在适当的时间与服务对象交谈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4.评估需求和规划服务对象照护能力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•仔细评估服务对象的环境和情况，确定其照护需求，并认清职业界限</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•评估服务对象及其家属的能力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•确定服务对象的营养状况和需求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•计划如何实施以服务对象为中心的照护</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•备齐所需物品以便实施照护计划</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•计划如何促进服务对象康复</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•实施前征求服务对象同意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•视情况向医疗护理等专业人员咨询</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5.管理和提供服务对象照护的能力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•促进和帮助服务对象的生理、社会和心理健康，照护和支持其在疾病过程中康复、自我成长和不断发展</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•在照护过程中，尊重服务对象以及道德、法律和伦理要求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•为服务对象构建积极的、促进健康的环境，提供安全的照护</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•根据需要协助卫生需求，并尊重服务对象的亲密需求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•在提供照护中要考虑服务对象的能力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•在执业范围内，执行相关的医疗任务，如急救、伤口护理、呼吸训练等</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•监测各种健康相关参数，如血压、脉搏、体温、血糖、疼痛、体重，并告知服务对象相关信息</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•对常见危险因素采取预防措施（如褥疮、肺炎等）</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•持续观察服务对象，迅速识别需要关注和转诊的新问题，如压力性损伤等</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•准确判断何时需要紧急医疗帮助，必要时采取急救措施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•实施能促进服务对象独立的措施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•教育服务对象健康的生活方式（如经常锻炼、戒烟等）</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•在实践范畴和法规允许下，给予服务对象营养建议，并采取合适措施改善其营养状况</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•在实践范畴和法规允许下，指导服务对象正确使用常见药物并观察疗效和预防副作用，如抗高血压药物、镇痛药物等</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•在实践范畴和法规允许下，指导服务对象正确管理和存储药物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•合理安排时间，使每位服务对象都获得他们需要的时间</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•组织健康指导和康复锻炼活动，满足不同年龄组（成年）服务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对象的需求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•结合服务对象自身资源，促进活动；尊重服务对象的需求，提供充分而恰当的移动技术</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•有效且高效地利用资源</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•提高生活质量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6.评估服务对象照护结果的能力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•通过与服务对象的认真仔细讨论，了解其对照护的满意程度</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•从服务对象家属、同事和相关专业人员那里获得信息</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•了解服务对象的喜好以及他们对“健康”的理解</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•认真倾听并积极回应任何问题，努力寻求解决方案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•评价照护计划给予服务对象多少帮助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•与服务对象及其家属、同事、相关专业人士商讨照护计划的任何调整，就照护计划的修改达成共识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•记录评估结果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•制定计划时考虑可利用的资源</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•向相关各方报告并记录任何值得关注的情况</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•反思反馈并评价自己的工作实践</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（二）竞赛模块</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竞赛设计对接世界技能大赛标准，分四个模块，分别考核医院、长期照护中心、日间照护中心及家庭场景内的健康与社会照护技能。本赛项重点考核选手的文字表达能力、实践操作能力、沟通交流能力。</w:t>
      </w:r>
    </w:p>
    <w:p>
      <w:pPr>
        <w:ind w:firstLine="600" w:firstLineChars="200"/>
        <w:rPr>
          <w:rFonts w:asciiTheme="minorEastAsia" w:hAnsiTheme="minorEastAsia"/>
          <w:sz w:val="28"/>
          <w:szCs w:val="28"/>
        </w:rPr>
      </w:pPr>
      <w:r>
        <w:rPr>
          <w:rFonts w:hint="eastAsia" w:ascii="仿宋_GB2312" w:hAnsi="仿宋_GB2312" w:eastAsia="仿宋_GB2312" w:cs="仿宋_GB2312"/>
          <w:sz w:val="30"/>
          <w:szCs w:val="30"/>
        </w:rPr>
        <w:t xml:space="preserve"> 文字表达能力通过书写计划、制作健康教育海报或撰写反思报告来考核；实践操作和沟通交流能力融合在具体的案例中。为了更好体现技能大赛对于人文综合能力的要求，如沟通和人际交流能力、解决问题能力、现场应变和创新能力等，本赛项将与世界技能大赛项目技术要求接轨，同时重视非技术技能及技术性的操作考核。</w:t>
      </w:r>
    </w:p>
    <w:tbl>
      <w:tblPr>
        <w:tblStyle w:val="6"/>
        <w:tblW w:w="9119" w:type="dxa"/>
        <w:tblInd w:w="71" w:type="dxa"/>
        <w:tblLayout w:type="fixed"/>
        <w:tblCellMar>
          <w:top w:w="0" w:type="dxa"/>
          <w:left w:w="0" w:type="dxa"/>
          <w:bottom w:w="0" w:type="dxa"/>
          <w:right w:w="0" w:type="dxa"/>
        </w:tblCellMar>
      </w:tblPr>
      <w:tblGrid>
        <w:gridCol w:w="16"/>
        <w:gridCol w:w="783"/>
        <w:gridCol w:w="17"/>
        <w:gridCol w:w="4087"/>
        <w:gridCol w:w="1101"/>
        <w:gridCol w:w="1045"/>
        <w:gridCol w:w="1120"/>
        <w:gridCol w:w="933"/>
        <w:gridCol w:w="17"/>
      </w:tblGrid>
      <w:tr>
        <w:tblPrEx>
          <w:tblCellMar>
            <w:top w:w="0" w:type="dxa"/>
            <w:left w:w="0" w:type="dxa"/>
            <w:bottom w:w="0" w:type="dxa"/>
            <w:right w:w="0" w:type="dxa"/>
          </w:tblCellMar>
        </w:tblPrEx>
        <w:trPr>
          <w:gridAfter w:val="1"/>
          <w:wAfter w:w="17" w:type="dxa"/>
          <w:trHeight w:val="535" w:hRule="exact"/>
        </w:trPr>
        <w:tc>
          <w:tcPr>
            <w:tcW w:w="799" w:type="dxa"/>
            <w:gridSpan w:val="2"/>
            <w:tcBorders>
              <w:top w:val="single" w:color="000000" w:sz="42" w:space="0"/>
              <w:left w:val="nil"/>
              <w:bottom w:val="single" w:color="000000" w:sz="6" w:space="0"/>
              <w:right w:val="single" w:color="000000" w:sz="6" w:space="0"/>
            </w:tcBorders>
            <w:vAlign w:val="center"/>
          </w:tcPr>
          <w:p>
            <w:pPr>
              <w:pStyle w:val="11"/>
              <w:kinsoku w:val="0"/>
              <w:overflowPunct w:val="0"/>
              <w:spacing w:before="117"/>
              <w:ind w:left="271"/>
              <w:rPr>
                <w:rFonts w:eastAsia="Times New Roman"/>
              </w:rPr>
            </w:pPr>
            <w:r>
              <w:rPr>
                <w:rFonts w:eastAsia="Times New Roman"/>
                <w:sz w:val="21"/>
              </w:rPr>
              <w:t>A1</w:t>
            </w:r>
          </w:p>
        </w:tc>
        <w:tc>
          <w:tcPr>
            <w:tcW w:w="4104" w:type="dxa"/>
            <w:gridSpan w:val="2"/>
            <w:tcBorders>
              <w:top w:val="single" w:color="000000" w:sz="42" w:space="0"/>
              <w:left w:val="single" w:color="000000" w:sz="6" w:space="0"/>
              <w:bottom w:val="single" w:color="000000" w:sz="6" w:space="0"/>
              <w:right w:val="single" w:color="000000" w:sz="6" w:space="0"/>
            </w:tcBorders>
          </w:tcPr>
          <w:p>
            <w:pPr>
              <w:pStyle w:val="11"/>
              <w:kinsoku w:val="0"/>
              <w:overflowPunct w:val="0"/>
              <w:spacing w:before="68"/>
              <w:ind w:left="99"/>
              <w:jc w:val="both"/>
              <w:rPr>
                <w:rFonts w:eastAsia="Times New Roman"/>
              </w:rPr>
            </w:pPr>
            <w:r>
              <w:rPr>
                <w:rFonts w:hint="eastAsia" w:ascii="宋体" w:eastAsia="宋体"/>
                <w:spacing w:val="-2"/>
                <w:sz w:val="21"/>
              </w:rPr>
              <w:t>医院案例照护计划</w:t>
            </w:r>
          </w:p>
        </w:tc>
        <w:tc>
          <w:tcPr>
            <w:tcW w:w="1101" w:type="dxa"/>
            <w:tcBorders>
              <w:top w:val="single" w:color="000000" w:sz="42" w:space="0"/>
              <w:left w:val="single" w:color="000000" w:sz="6" w:space="0"/>
              <w:bottom w:val="single" w:color="000000" w:sz="6" w:space="0"/>
              <w:right w:val="single" w:color="000000" w:sz="6" w:space="0"/>
            </w:tcBorders>
            <w:vAlign w:val="center"/>
          </w:tcPr>
          <w:p>
            <w:pPr>
              <w:pStyle w:val="11"/>
              <w:kinsoku w:val="0"/>
              <w:overflowPunct w:val="0"/>
              <w:spacing w:before="117"/>
              <w:ind w:right="4"/>
              <w:jc w:val="center"/>
              <w:rPr>
                <w:rFonts w:eastAsia="Times New Roman"/>
              </w:rPr>
            </w:pPr>
            <w:r>
              <w:rPr>
                <w:rFonts w:eastAsia="Times New Roman"/>
                <w:sz w:val="21"/>
              </w:rPr>
              <w:t>20</w:t>
            </w:r>
          </w:p>
        </w:tc>
        <w:tc>
          <w:tcPr>
            <w:tcW w:w="1045" w:type="dxa"/>
            <w:tcBorders>
              <w:top w:val="single" w:color="000000" w:sz="42" w:space="0"/>
              <w:left w:val="single" w:color="000000" w:sz="6" w:space="0"/>
              <w:bottom w:val="single" w:color="000000" w:sz="6" w:space="0"/>
              <w:right w:val="single" w:color="000000" w:sz="6" w:space="0"/>
            </w:tcBorders>
            <w:vAlign w:val="center"/>
          </w:tcPr>
          <w:p>
            <w:pPr>
              <w:pStyle w:val="11"/>
              <w:kinsoku w:val="0"/>
              <w:overflowPunct w:val="0"/>
              <w:spacing w:before="117"/>
              <w:jc w:val="center"/>
              <w:rPr>
                <w:rFonts w:eastAsia="Times New Roman"/>
              </w:rPr>
            </w:pPr>
            <w:r>
              <w:rPr>
                <w:rFonts w:eastAsia="Times New Roman"/>
                <w:sz w:val="21"/>
              </w:rPr>
              <w:t>0</w:t>
            </w:r>
          </w:p>
        </w:tc>
        <w:tc>
          <w:tcPr>
            <w:tcW w:w="1120" w:type="dxa"/>
            <w:tcBorders>
              <w:top w:val="single" w:color="000000" w:sz="42" w:space="0"/>
              <w:left w:val="single" w:color="000000" w:sz="6" w:space="0"/>
              <w:bottom w:val="single" w:color="000000" w:sz="6" w:space="0"/>
              <w:right w:val="single" w:color="000000" w:sz="6" w:space="0"/>
            </w:tcBorders>
            <w:vAlign w:val="center"/>
          </w:tcPr>
          <w:p>
            <w:pPr>
              <w:pStyle w:val="11"/>
              <w:kinsoku w:val="0"/>
              <w:overflowPunct w:val="0"/>
              <w:spacing w:before="117"/>
              <w:jc w:val="center"/>
              <w:rPr>
                <w:rFonts w:eastAsia="Times New Roman"/>
              </w:rPr>
            </w:pPr>
            <w:r>
              <w:rPr>
                <w:rFonts w:eastAsia="Times New Roman"/>
                <w:sz w:val="21"/>
              </w:rPr>
              <w:t>10</w:t>
            </w:r>
          </w:p>
        </w:tc>
        <w:tc>
          <w:tcPr>
            <w:tcW w:w="933" w:type="dxa"/>
            <w:tcBorders>
              <w:top w:val="single" w:color="000000" w:sz="42" w:space="0"/>
              <w:left w:val="single" w:color="000000" w:sz="6" w:space="0"/>
              <w:bottom w:val="single" w:color="000000" w:sz="6" w:space="0"/>
              <w:right w:val="nil"/>
            </w:tcBorders>
            <w:vAlign w:val="center"/>
          </w:tcPr>
          <w:p>
            <w:pPr>
              <w:pStyle w:val="11"/>
              <w:kinsoku w:val="0"/>
              <w:overflowPunct w:val="0"/>
              <w:spacing w:before="117"/>
              <w:ind w:right="6"/>
              <w:jc w:val="center"/>
              <w:rPr>
                <w:rFonts w:eastAsia="Times New Roman"/>
              </w:rPr>
            </w:pPr>
            <w:r>
              <w:rPr>
                <w:rFonts w:eastAsia="Times New Roman"/>
                <w:sz w:val="21"/>
              </w:rPr>
              <w:t>10</w:t>
            </w:r>
          </w:p>
        </w:tc>
      </w:tr>
      <w:tr>
        <w:tblPrEx>
          <w:tblCellMar>
            <w:top w:w="0" w:type="dxa"/>
            <w:left w:w="0" w:type="dxa"/>
            <w:bottom w:w="0" w:type="dxa"/>
            <w:right w:w="0" w:type="dxa"/>
          </w:tblCellMar>
        </w:tblPrEx>
        <w:trPr>
          <w:gridAfter w:val="1"/>
          <w:wAfter w:w="17" w:type="dxa"/>
          <w:trHeight w:val="485" w:hRule="exact"/>
        </w:trPr>
        <w:tc>
          <w:tcPr>
            <w:tcW w:w="799" w:type="dxa"/>
            <w:gridSpan w:val="2"/>
            <w:tcBorders>
              <w:top w:val="single" w:color="000000" w:sz="6" w:space="0"/>
              <w:left w:val="nil"/>
              <w:bottom w:val="single" w:color="000000" w:sz="6" w:space="0"/>
              <w:right w:val="single" w:color="000000" w:sz="6" w:space="0"/>
            </w:tcBorders>
            <w:vAlign w:val="center"/>
          </w:tcPr>
          <w:p>
            <w:pPr>
              <w:pStyle w:val="11"/>
              <w:kinsoku w:val="0"/>
              <w:overflowPunct w:val="0"/>
              <w:spacing w:before="115"/>
              <w:jc w:val="center"/>
              <w:rPr>
                <w:rFonts w:eastAsiaTheme="minorEastAsia"/>
              </w:rPr>
            </w:pPr>
            <w:r>
              <w:rPr>
                <w:rFonts w:eastAsia="Times New Roman"/>
                <w:spacing w:val="1"/>
                <w:sz w:val="21"/>
              </w:rPr>
              <w:t>A2</w:t>
            </w:r>
          </w:p>
        </w:tc>
        <w:tc>
          <w:tcPr>
            <w:tcW w:w="4104" w:type="dxa"/>
            <w:gridSpan w:val="2"/>
            <w:tcBorders>
              <w:top w:val="single" w:color="000000" w:sz="6" w:space="0"/>
              <w:left w:val="single" w:color="000000" w:sz="6" w:space="0"/>
              <w:bottom w:val="single" w:color="000000" w:sz="6" w:space="0"/>
              <w:right w:val="single" w:color="000000" w:sz="6" w:space="0"/>
            </w:tcBorders>
          </w:tcPr>
          <w:p>
            <w:pPr>
              <w:pStyle w:val="11"/>
              <w:kinsoku w:val="0"/>
              <w:overflowPunct w:val="0"/>
              <w:spacing w:before="65"/>
              <w:ind w:left="99"/>
              <w:jc w:val="both"/>
              <w:rPr>
                <w:rFonts w:eastAsia="Times New Roman"/>
              </w:rPr>
            </w:pPr>
            <w:r>
              <w:rPr>
                <w:rFonts w:hint="eastAsia" w:ascii="宋体" w:eastAsia="宋体"/>
                <w:spacing w:val="-2"/>
                <w:sz w:val="21"/>
              </w:rPr>
              <w:t>医院案例实际照护</w:t>
            </w:r>
          </w:p>
        </w:tc>
        <w:tc>
          <w:tcPr>
            <w:tcW w:w="1101"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5"/>
              <w:ind w:right="4"/>
              <w:jc w:val="center"/>
              <w:rPr>
                <w:rFonts w:eastAsia="Times New Roman"/>
              </w:rPr>
            </w:pPr>
            <w:r>
              <w:rPr>
                <w:rFonts w:eastAsia="Times New Roman"/>
                <w:sz w:val="21"/>
              </w:rPr>
              <w:t>25</w:t>
            </w:r>
          </w:p>
        </w:tc>
        <w:tc>
          <w:tcPr>
            <w:tcW w:w="1045"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5"/>
              <w:jc w:val="center"/>
              <w:rPr>
                <w:rFonts w:eastAsia="Times New Roman"/>
              </w:rPr>
            </w:pPr>
            <w:r>
              <w:rPr>
                <w:rFonts w:eastAsia="Times New Roman"/>
                <w:sz w:val="21"/>
              </w:rPr>
              <w:t>3</w:t>
            </w:r>
          </w:p>
        </w:tc>
        <w:tc>
          <w:tcPr>
            <w:tcW w:w="1120"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5"/>
              <w:jc w:val="center"/>
              <w:rPr>
                <w:rFonts w:eastAsia="Times New Roman"/>
              </w:rPr>
            </w:pPr>
            <w:r>
              <w:rPr>
                <w:rFonts w:eastAsia="Times New Roman"/>
                <w:sz w:val="21"/>
              </w:rPr>
              <w:t>77</w:t>
            </w:r>
          </w:p>
        </w:tc>
        <w:tc>
          <w:tcPr>
            <w:tcW w:w="933" w:type="dxa"/>
            <w:tcBorders>
              <w:top w:val="single" w:color="000000" w:sz="6" w:space="0"/>
              <w:left w:val="single" w:color="000000" w:sz="6" w:space="0"/>
              <w:bottom w:val="single" w:color="000000" w:sz="6" w:space="0"/>
              <w:right w:val="nil"/>
            </w:tcBorders>
            <w:vAlign w:val="center"/>
          </w:tcPr>
          <w:p>
            <w:pPr>
              <w:pStyle w:val="11"/>
              <w:kinsoku w:val="0"/>
              <w:overflowPunct w:val="0"/>
              <w:spacing w:before="115"/>
              <w:ind w:right="6"/>
              <w:jc w:val="center"/>
              <w:rPr>
                <w:rFonts w:eastAsia="Times New Roman"/>
              </w:rPr>
            </w:pPr>
            <w:r>
              <w:rPr>
                <w:rFonts w:eastAsia="Times New Roman"/>
                <w:sz w:val="21"/>
              </w:rPr>
              <w:t>80</w:t>
            </w:r>
          </w:p>
        </w:tc>
      </w:tr>
      <w:tr>
        <w:tblPrEx>
          <w:tblCellMar>
            <w:top w:w="0" w:type="dxa"/>
            <w:left w:w="0" w:type="dxa"/>
            <w:bottom w:w="0" w:type="dxa"/>
            <w:right w:w="0" w:type="dxa"/>
          </w:tblCellMar>
        </w:tblPrEx>
        <w:trPr>
          <w:gridAfter w:val="1"/>
          <w:wAfter w:w="17" w:type="dxa"/>
          <w:trHeight w:val="511" w:hRule="exact"/>
        </w:trPr>
        <w:tc>
          <w:tcPr>
            <w:tcW w:w="799" w:type="dxa"/>
            <w:gridSpan w:val="2"/>
            <w:tcBorders>
              <w:top w:val="single" w:color="000000" w:sz="6" w:space="0"/>
              <w:left w:val="nil"/>
              <w:bottom w:val="single" w:color="000000" w:sz="28" w:space="0"/>
              <w:right w:val="single" w:color="000000" w:sz="6" w:space="0"/>
            </w:tcBorders>
            <w:vAlign w:val="center"/>
          </w:tcPr>
          <w:p>
            <w:pPr>
              <w:pStyle w:val="11"/>
              <w:kinsoku w:val="0"/>
              <w:overflowPunct w:val="0"/>
              <w:spacing w:before="112"/>
              <w:ind w:left="271"/>
              <w:rPr>
                <w:rFonts w:eastAsia="Times New Roman"/>
              </w:rPr>
            </w:pPr>
            <w:r>
              <w:rPr>
                <w:rFonts w:eastAsia="Times New Roman"/>
                <w:spacing w:val="1"/>
                <w:sz w:val="21"/>
              </w:rPr>
              <w:t>A3</w:t>
            </w:r>
          </w:p>
        </w:tc>
        <w:tc>
          <w:tcPr>
            <w:tcW w:w="4104" w:type="dxa"/>
            <w:gridSpan w:val="2"/>
            <w:tcBorders>
              <w:top w:val="single" w:color="000000" w:sz="6" w:space="0"/>
              <w:left w:val="single" w:color="000000" w:sz="6" w:space="0"/>
              <w:bottom w:val="single" w:color="000000" w:sz="28" w:space="0"/>
              <w:right w:val="single" w:color="000000" w:sz="6" w:space="0"/>
            </w:tcBorders>
          </w:tcPr>
          <w:p>
            <w:pPr>
              <w:pStyle w:val="11"/>
              <w:kinsoku w:val="0"/>
              <w:overflowPunct w:val="0"/>
              <w:spacing w:before="63"/>
              <w:ind w:left="99"/>
              <w:jc w:val="both"/>
              <w:rPr>
                <w:rFonts w:eastAsia="Times New Roman"/>
              </w:rPr>
            </w:pPr>
            <w:r>
              <w:rPr>
                <w:rFonts w:hint="eastAsia" w:ascii="宋体" w:eastAsia="宋体"/>
                <w:spacing w:val="-2"/>
                <w:sz w:val="21"/>
              </w:rPr>
              <w:t>医院案例健康教育海报或反思报告</w:t>
            </w:r>
          </w:p>
        </w:tc>
        <w:tc>
          <w:tcPr>
            <w:tcW w:w="1101"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spacing w:before="112"/>
              <w:ind w:right="4"/>
              <w:jc w:val="center"/>
              <w:rPr>
                <w:rFonts w:eastAsia="Times New Roman"/>
              </w:rPr>
            </w:pPr>
            <w:r>
              <w:rPr>
                <w:rFonts w:eastAsia="Times New Roman"/>
                <w:sz w:val="21"/>
              </w:rPr>
              <w:t>25</w:t>
            </w:r>
          </w:p>
        </w:tc>
        <w:tc>
          <w:tcPr>
            <w:tcW w:w="1045"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0</w:t>
            </w:r>
          </w:p>
        </w:tc>
        <w:tc>
          <w:tcPr>
            <w:tcW w:w="1120"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10</w:t>
            </w:r>
          </w:p>
        </w:tc>
        <w:tc>
          <w:tcPr>
            <w:tcW w:w="933" w:type="dxa"/>
            <w:tcBorders>
              <w:top w:val="single" w:color="000000" w:sz="6" w:space="0"/>
              <w:left w:val="single" w:color="000000" w:sz="6" w:space="0"/>
              <w:bottom w:val="single" w:color="000000" w:sz="28" w:space="0"/>
              <w:right w:val="nil"/>
            </w:tcBorders>
            <w:vAlign w:val="center"/>
          </w:tcPr>
          <w:p>
            <w:pPr>
              <w:pStyle w:val="11"/>
              <w:kinsoku w:val="0"/>
              <w:overflowPunct w:val="0"/>
              <w:spacing w:before="112"/>
              <w:ind w:right="6"/>
              <w:jc w:val="center"/>
              <w:rPr>
                <w:rFonts w:eastAsia="Times New Roman"/>
              </w:rPr>
            </w:pPr>
            <w:r>
              <w:rPr>
                <w:rFonts w:eastAsia="Times New Roman"/>
                <w:sz w:val="21"/>
              </w:rPr>
              <w:t>10</w:t>
            </w:r>
          </w:p>
        </w:tc>
      </w:tr>
      <w:tr>
        <w:tblPrEx>
          <w:tblCellMar>
            <w:top w:w="0" w:type="dxa"/>
            <w:left w:w="0" w:type="dxa"/>
            <w:bottom w:w="0" w:type="dxa"/>
            <w:right w:w="0" w:type="dxa"/>
          </w:tblCellMar>
        </w:tblPrEx>
        <w:trPr>
          <w:gridBefore w:val="1"/>
          <w:wBefore w:w="16" w:type="dxa"/>
          <w:trHeight w:val="485" w:hRule="exact"/>
        </w:trPr>
        <w:tc>
          <w:tcPr>
            <w:tcW w:w="800" w:type="dxa"/>
            <w:gridSpan w:val="2"/>
            <w:tcBorders>
              <w:top w:val="single" w:color="000000" w:sz="8" w:space="0"/>
              <w:left w:val="nil"/>
              <w:bottom w:val="single" w:color="000000" w:sz="6" w:space="0"/>
              <w:right w:val="single" w:color="000000" w:sz="6" w:space="0"/>
            </w:tcBorders>
            <w:vAlign w:val="center"/>
          </w:tcPr>
          <w:p>
            <w:pPr>
              <w:pStyle w:val="11"/>
              <w:kinsoku w:val="0"/>
              <w:overflowPunct w:val="0"/>
              <w:spacing w:before="112"/>
              <w:ind w:left="9"/>
              <w:jc w:val="center"/>
              <w:rPr>
                <w:rFonts w:eastAsia="Times New Roman"/>
              </w:rPr>
            </w:pPr>
            <w:r>
              <w:rPr>
                <w:rFonts w:eastAsia="Times New Roman"/>
                <w:sz w:val="21"/>
              </w:rPr>
              <w:t>B1</w:t>
            </w:r>
          </w:p>
        </w:tc>
        <w:tc>
          <w:tcPr>
            <w:tcW w:w="4087" w:type="dxa"/>
            <w:tcBorders>
              <w:top w:val="single" w:color="000000" w:sz="8" w:space="0"/>
              <w:left w:val="single" w:color="000000" w:sz="6" w:space="0"/>
              <w:bottom w:val="single" w:color="000000" w:sz="6" w:space="0"/>
              <w:right w:val="single" w:color="000000" w:sz="6" w:space="0"/>
            </w:tcBorders>
          </w:tcPr>
          <w:p>
            <w:pPr>
              <w:pStyle w:val="11"/>
              <w:kinsoku w:val="0"/>
              <w:overflowPunct w:val="0"/>
              <w:spacing w:before="63"/>
              <w:ind w:left="99"/>
              <w:jc w:val="both"/>
              <w:rPr>
                <w:rFonts w:eastAsia="Times New Roman"/>
              </w:rPr>
            </w:pPr>
            <w:r>
              <w:rPr>
                <w:rFonts w:hint="eastAsia" w:ascii="宋体" w:eastAsia="宋体"/>
                <w:spacing w:val="-2"/>
                <w:sz w:val="21"/>
              </w:rPr>
              <w:t>长期照护中心案例照护计划</w:t>
            </w:r>
          </w:p>
        </w:tc>
        <w:tc>
          <w:tcPr>
            <w:tcW w:w="1101" w:type="dxa"/>
            <w:tcBorders>
              <w:top w:val="single" w:color="000000" w:sz="8" w:space="0"/>
              <w:left w:val="single" w:color="000000" w:sz="6" w:space="0"/>
              <w:bottom w:val="single" w:color="000000" w:sz="6" w:space="0"/>
              <w:right w:val="single" w:color="000000" w:sz="6" w:space="0"/>
            </w:tcBorders>
            <w:vAlign w:val="center"/>
          </w:tcPr>
          <w:p>
            <w:pPr>
              <w:pStyle w:val="11"/>
              <w:kinsoku w:val="0"/>
              <w:overflowPunct w:val="0"/>
              <w:spacing w:before="112"/>
              <w:ind w:right="4"/>
              <w:jc w:val="center"/>
              <w:rPr>
                <w:rFonts w:eastAsia="Times New Roman"/>
              </w:rPr>
            </w:pPr>
            <w:r>
              <w:rPr>
                <w:rFonts w:eastAsia="Times New Roman"/>
                <w:sz w:val="21"/>
              </w:rPr>
              <w:t>20</w:t>
            </w:r>
          </w:p>
        </w:tc>
        <w:tc>
          <w:tcPr>
            <w:tcW w:w="1045" w:type="dxa"/>
            <w:tcBorders>
              <w:top w:val="single" w:color="000000" w:sz="8"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0</w:t>
            </w:r>
          </w:p>
        </w:tc>
        <w:tc>
          <w:tcPr>
            <w:tcW w:w="1120" w:type="dxa"/>
            <w:tcBorders>
              <w:top w:val="single" w:color="000000" w:sz="8"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10</w:t>
            </w:r>
          </w:p>
        </w:tc>
        <w:tc>
          <w:tcPr>
            <w:tcW w:w="950" w:type="dxa"/>
            <w:gridSpan w:val="2"/>
            <w:tcBorders>
              <w:top w:val="single" w:color="000000" w:sz="8" w:space="0"/>
              <w:left w:val="single" w:color="000000" w:sz="6" w:space="0"/>
              <w:bottom w:val="single" w:color="000000" w:sz="6" w:space="0"/>
              <w:right w:val="nil"/>
            </w:tcBorders>
            <w:vAlign w:val="center"/>
          </w:tcPr>
          <w:p>
            <w:pPr>
              <w:pStyle w:val="11"/>
              <w:kinsoku w:val="0"/>
              <w:overflowPunct w:val="0"/>
              <w:spacing w:before="112"/>
              <w:ind w:right="6"/>
              <w:jc w:val="center"/>
              <w:rPr>
                <w:rFonts w:eastAsia="Times New Roman"/>
              </w:rPr>
            </w:pPr>
            <w:r>
              <w:rPr>
                <w:rFonts w:eastAsia="Times New Roman"/>
                <w:sz w:val="21"/>
              </w:rPr>
              <w:t>10</w:t>
            </w:r>
          </w:p>
        </w:tc>
      </w:tr>
      <w:tr>
        <w:tblPrEx>
          <w:tblCellMar>
            <w:top w:w="0" w:type="dxa"/>
            <w:left w:w="0" w:type="dxa"/>
            <w:bottom w:w="0" w:type="dxa"/>
            <w:right w:w="0" w:type="dxa"/>
          </w:tblCellMar>
        </w:tblPrEx>
        <w:trPr>
          <w:gridBefore w:val="1"/>
          <w:wBefore w:w="16" w:type="dxa"/>
          <w:trHeight w:val="482" w:hRule="exact"/>
        </w:trPr>
        <w:tc>
          <w:tcPr>
            <w:tcW w:w="800" w:type="dxa"/>
            <w:gridSpan w:val="2"/>
            <w:tcBorders>
              <w:top w:val="single" w:color="000000" w:sz="6" w:space="0"/>
              <w:left w:val="nil"/>
              <w:bottom w:val="single" w:color="000000" w:sz="6" w:space="0"/>
              <w:right w:val="single" w:color="000000" w:sz="6" w:space="0"/>
            </w:tcBorders>
            <w:vAlign w:val="center"/>
          </w:tcPr>
          <w:p>
            <w:pPr>
              <w:pStyle w:val="11"/>
              <w:kinsoku w:val="0"/>
              <w:overflowPunct w:val="0"/>
              <w:spacing w:before="112"/>
              <w:ind w:left="9"/>
              <w:jc w:val="center"/>
              <w:rPr>
                <w:rFonts w:eastAsia="Times New Roman"/>
              </w:rPr>
            </w:pPr>
            <w:r>
              <w:rPr>
                <w:rFonts w:eastAsia="Times New Roman"/>
                <w:sz w:val="21"/>
              </w:rPr>
              <w:t>B2</w:t>
            </w:r>
          </w:p>
        </w:tc>
        <w:tc>
          <w:tcPr>
            <w:tcW w:w="4087" w:type="dxa"/>
            <w:tcBorders>
              <w:top w:val="single" w:color="000000" w:sz="6" w:space="0"/>
              <w:left w:val="single" w:color="000000" w:sz="6" w:space="0"/>
              <w:bottom w:val="single" w:color="000000" w:sz="6" w:space="0"/>
              <w:right w:val="single" w:color="000000" w:sz="6" w:space="0"/>
            </w:tcBorders>
          </w:tcPr>
          <w:p>
            <w:pPr>
              <w:pStyle w:val="11"/>
              <w:kinsoku w:val="0"/>
              <w:overflowPunct w:val="0"/>
              <w:spacing w:before="63"/>
              <w:ind w:left="99"/>
              <w:jc w:val="both"/>
              <w:rPr>
                <w:rFonts w:eastAsia="Times New Roman"/>
              </w:rPr>
            </w:pPr>
            <w:r>
              <w:rPr>
                <w:rFonts w:hint="eastAsia" w:ascii="宋体" w:eastAsia="宋体"/>
                <w:spacing w:val="-2"/>
                <w:sz w:val="21"/>
              </w:rPr>
              <w:t>长期照护中心案例实际照护</w:t>
            </w:r>
          </w:p>
        </w:tc>
        <w:tc>
          <w:tcPr>
            <w:tcW w:w="1101"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2"/>
              <w:ind w:right="4"/>
              <w:jc w:val="center"/>
              <w:rPr>
                <w:rFonts w:eastAsia="Times New Roman"/>
              </w:rPr>
            </w:pPr>
            <w:r>
              <w:rPr>
                <w:rFonts w:eastAsia="Times New Roman"/>
                <w:sz w:val="21"/>
              </w:rPr>
              <w:t>25</w:t>
            </w:r>
          </w:p>
        </w:tc>
        <w:tc>
          <w:tcPr>
            <w:tcW w:w="1045"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3</w:t>
            </w:r>
          </w:p>
        </w:tc>
        <w:tc>
          <w:tcPr>
            <w:tcW w:w="1120"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77</w:t>
            </w:r>
          </w:p>
        </w:tc>
        <w:tc>
          <w:tcPr>
            <w:tcW w:w="950" w:type="dxa"/>
            <w:gridSpan w:val="2"/>
            <w:tcBorders>
              <w:top w:val="single" w:color="000000" w:sz="6" w:space="0"/>
              <w:left w:val="single" w:color="000000" w:sz="6" w:space="0"/>
              <w:bottom w:val="single" w:color="000000" w:sz="6" w:space="0"/>
              <w:right w:val="nil"/>
            </w:tcBorders>
            <w:vAlign w:val="center"/>
          </w:tcPr>
          <w:p>
            <w:pPr>
              <w:pStyle w:val="11"/>
              <w:kinsoku w:val="0"/>
              <w:overflowPunct w:val="0"/>
              <w:spacing w:before="112"/>
              <w:ind w:right="6"/>
              <w:jc w:val="center"/>
              <w:rPr>
                <w:rFonts w:eastAsia="Times New Roman"/>
              </w:rPr>
            </w:pPr>
            <w:r>
              <w:rPr>
                <w:rFonts w:eastAsia="Times New Roman"/>
                <w:sz w:val="21"/>
              </w:rPr>
              <w:t>80</w:t>
            </w:r>
          </w:p>
        </w:tc>
      </w:tr>
      <w:tr>
        <w:tblPrEx>
          <w:tblCellMar>
            <w:top w:w="0" w:type="dxa"/>
            <w:left w:w="0" w:type="dxa"/>
            <w:bottom w:w="0" w:type="dxa"/>
            <w:right w:w="0" w:type="dxa"/>
          </w:tblCellMar>
        </w:tblPrEx>
        <w:trPr>
          <w:gridBefore w:val="1"/>
          <w:wBefore w:w="16" w:type="dxa"/>
          <w:trHeight w:val="980" w:hRule="exact"/>
        </w:trPr>
        <w:tc>
          <w:tcPr>
            <w:tcW w:w="800" w:type="dxa"/>
            <w:gridSpan w:val="2"/>
            <w:tcBorders>
              <w:top w:val="single" w:color="000000" w:sz="6" w:space="0"/>
              <w:left w:val="nil"/>
              <w:bottom w:val="single" w:color="000000" w:sz="28" w:space="0"/>
              <w:right w:val="single" w:color="000000" w:sz="6" w:space="0"/>
            </w:tcBorders>
            <w:vAlign w:val="center"/>
          </w:tcPr>
          <w:p>
            <w:pPr>
              <w:pStyle w:val="11"/>
              <w:kinsoku w:val="0"/>
              <w:overflowPunct w:val="0"/>
              <w:ind w:left="9"/>
              <w:jc w:val="center"/>
              <w:rPr>
                <w:rFonts w:eastAsia="Times New Roman"/>
              </w:rPr>
            </w:pPr>
            <w:r>
              <w:rPr>
                <w:rFonts w:eastAsia="Times New Roman"/>
                <w:sz w:val="21"/>
              </w:rPr>
              <w:t>B3</w:t>
            </w:r>
          </w:p>
        </w:tc>
        <w:tc>
          <w:tcPr>
            <w:tcW w:w="4087"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spacing w:before="63"/>
              <w:ind w:left="99"/>
              <w:jc w:val="both"/>
              <w:rPr>
                <w:rFonts w:eastAsia="Times New Roman"/>
              </w:rPr>
            </w:pPr>
            <w:r>
              <w:rPr>
                <w:rFonts w:hint="eastAsia" w:ascii="宋体" w:eastAsia="宋体"/>
                <w:spacing w:val="-2"/>
                <w:sz w:val="21"/>
              </w:rPr>
              <w:t>长期照护中心案例健康教育海报或反</w:t>
            </w:r>
            <w:r>
              <w:rPr>
                <w:rFonts w:hint="eastAsia" w:ascii="宋体" w:eastAsia="宋体"/>
                <w:sz w:val="21"/>
              </w:rPr>
              <w:t>思报告</w:t>
            </w:r>
          </w:p>
        </w:tc>
        <w:tc>
          <w:tcPr>
            <w:tcW w:w="1101"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ind w:right="4"/>
              <w:jc w:val="center"/>
              <w:rPr>
                <w:rFonts w:eastAsia="Times New Roman"/>
              </w:rPr>
            </w:pPr>
            <w:r>
              <w:rPr>
                <w:rFonts w:eastAsia="Times New Roman"/>
                <w:sz w:val="21"/>
              </w:rPr>
              <w:t>25</w:t>
            </w:r>
          </w:p>
        </w:tc>
        <w:tc>
          <w:tcPr>
            <w:tcW w:w="1045"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jc w:val="center"/>
              <w:rPr>
                <w:rFonts w:eastAsia="Times New Roman"/>
              </w:rPr>
            </w:pPr>
            <w:r>
              <w:rPr>
                <w:rFonts w:eastAsia="Times New Roman"/>
                <w:sz w:val="21"/>
              </w:rPr>
              <w:t>0</w:t>
            </w:r>
          </w:p>
        </w:tc>
        <w:tc>
          <w:tcPr>
            <w:tcW w:w="1120"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jc w:val="center"/>
              <w:rPr>
                <w:rFonts w:eastAsia="Times New Roman"/>
              </w:rPr>
            </w:pPr>
            <w:r>
              <w:rPr>
                <w:rFonts w:eastAsia="Times New Roman"/>
                <w:sz w:val="21"/>
              </w:rPr>
              <w:t>10</w:t>
            </w:r>
          </w:p>
        </w:tc>
        <w:tc>
          <w:tcPr>
            <w:tcW w:w="950" w:type="dxa"/>
            <w:gridSpan w:val="2"/>
            <w:tcBorders>
              <w:top w:val="single" w:color="000000" w:sz="6" w:space="0"/>
              <w:left w:val="single" w:color="000000" w:sz="6" w:space="0"/>
              <w:bottom w:val="single" w:color="000000" w:sz="28" w:space="0"/>
              <w:right w:val="nil"/>
            </w:tcBorders>
            <w:vAlign w:val="center"/>
          </w:tcPr>
          <w:p>
            <w:pPr>
              <w:pStyle w:val="11"/>
              <w:kinsoku w:val="0"/>
              <w:overflowPunct w:val="0"/>
              <w:ind w:right="6"/>
              <w:jc w:val="center"/>
              <w:rPr>
                <w:rFonts w:eastAsia="Times New Roman"/>
              </w:rPr>
            </w:pPr>
            <w:r>
              <w:rPr>
                <w:rFonts w:eastAsia="Times New Roman"/>
                <w:sz w:val="21"/>
              </w:rPr>
              <w:t>10</w:t>
            </w:r>
          </w:p>
        </w:tc>
      </w:tr>
    </w:tbl>
    <w:p>
      <w:pPr>
        <w:pStyle w:val="2"/>
        <w:kinsoku w:val="0"/>
        <w:overflowPunct w:val="0"/>
        <w:ind w:left="0"/>
        <w:jc w:val="both"/>
        <w:rPr>
          <w:sz w:val="2"/>
        </w:rPr>
      </w:pPr>
    </w:p>
    <w:tbl>
      <w:tblPr>
        <w:tblStyle w:val="6"/>
        <w:tblW w:w="9103" w:type="dxa"/>
        <w:tblInd w:w="87" w:type="dxa"/>
        <w:tblLayout w:type="fixed"/>
        <w:tblCellMar>
          <w:top w:w="0" w:type="dxa"/>
          <w:left w:w="0" w:type="dxa"/>
          <w:bottom w:w="0" w:type="dxa"/>
          <w:right w:w="0" w:type="dxa"/>
        </w:tblCellMar>
      </w:tblPr>
      <w:tblGrid>
        <w:gridCol w:w="800"/>
        <w:gridCol w:w="4106"/>
        <w:gridCol w:w="1082"/>
        <w:gridCol w:w="1026"/>
        <w:gridCol w:w="1177"/>
        <w:gridCol w:w="912"/>
      </w:tblGrid>
      <w:tr>
        <w:tblPrEx>
          <w:tblCellMar>
            <w:top w:w="0" w:type="dxa"/>
            <w:left w:w="0" w:type="dxa"/>
            <w:bottom w:w="0" w:type="dxa"/>
            <w:right w:w="0" w:type="dxa"/>
          </w:tblCellMar>
        </w:tblPrEx>
        <w:trPr>
          <w:trHeight w:val="485" w:hRule="exact"/>
        </w:trPr>
        <w:tc>
          <w:tcPr>
            <w:tcW w:w="800" w:type="dxa"/>
            <w:tcBorders>
              <w:top w:val="single" w:color="000000" w:sz="8" w:space="0"/>
              <w:left w:val="nil"/>
              <w:bottom w:val="single" w:color="000000" w:sz="6" w:space="0"/>
              <w:right w:val="single" w:color="000000" w:sz="6" w:space="0"/>
            </w:tcBorders>
            <w:vAlign w:val="center"/>
          </w:tcPr>
          <w:p>
            <w:pPr>
              <w:pStyle w:val="11"/>
              <w:kinsoku w:val="0"/>
              <w:overflowPunct w:val="0"/>
              <w:spacing w:before="112"/>
              <w:ind w:left="9"/>
              <w:jc w:val="center"/>
              <w:rPr>
                <w:rFonts w:eastAsia="Times New Roman"/>
              </w:rPr>
            </w:pPr>
            <w:r>
              <w:rPr>
                <w:rFonts w:eastAsia="Times New Roman"/>
                <w:sz w:val="21"/>
              </w:rPr>
              <w:t>C1</w:t>
            </w:r>
          </w:p>
        </w:tc>
        <w:tc>
          <w:tcPr>
            <w:tcW w:w="4106" w:type="dxa"/>
            <w:tcBorders>
              <w:top w:val="single" w:color="000000" w:sz="8" w:space="0"/>
              <w:left w:val="single" w:color="000000" w:sz="6" w:space="0"/>
              <w:bottom w:val="single" w:color="000000" w:sz="6" w:space="0"/>
              <w:right w:val="single" w:color="000000" w:sz="6" w:space="0"/>
            </w:tcBorders>
          </w:tcPr>
          <w:p>
            <w:pPr>
              <w:pStyle w:val="11"/>
              <w:kinsoku w:val="0"/>
              <w:overflowPunct w:val="0"/>
              <w:spacing w:before="63"/>
              <w:ind w:left="99"/>
              <w:jc w:val="both"/>
              <w:rPr>
                <w:rFonts w:eastAsia="Times New Roman"/>
              </w:rPr>
            </w:pPr>
            <w:r>
              <w:rPr>
                <w:rFonts w:hint="eastAsia" w:ascii="宋体" w:eastAsia="宋体"/>
                <w:spacing w:val="-2"/>
                <w:sz w:val="21"/>
              </w:rPr>
              <w:t>日间照护中心案例照护计划</w:t>
            </w:r>
          </w:p>
        </w:tc>
        <w:tc>
          <w:tcPr>
            <w:tcW w:w="1082" w:type="dxa"/>
            <w:tcBorders>
              <w:top w:val="single" w:color="000000" w:sz="8" w:space="0"/>
              <w:left w:val="single" w:color="000000" w:sz="6" w:space="0"/>
              <w:bottom w:val="single" w:color="000000" w:sz="6" w:space="0"/>
              <w:right w:val="single" w:color="000000" w:sz="6" w:space="0"/>
            </w:tcBorders>
            <w:vAlign w:val="center"/>
          </w:tcPr>
          <w:p>
            <w:pPr>
              <w:pStyle w:val="11"/>
              <w:kinsoku w:val="0"/>
              <w:overflowPunct w:val="0"/>
              <w:spacing w:before="112"/>
              <w:ind w:right="4"/>
              <w:jc w:val="center"/>
              <w:rPr>
                <w:rFonts w:eastAsia="Times New Roman"/>
              </w:rPr>
            </w:pPr>
            <w:r>
              <w:rPr>
                <w:rFonts w:eastAsia="Times New Roman"/>
                <w:sz w:val="21"/>
              </w:rPr>
              <w:t>20</w:t>
            </w:r>
          </w:p>
        </w:tc>
        <w:tc>
          <w:tcPr>
            <w:tcW w:w="1026" w:type="dxa"/>
            <w:tcBorders>
              <w:top w:val="single" w:color="000000" w:sz="8"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0</w:t>
            </w:r>
          </w:p>
        </w:tc>
        <w:tc>
          <w:tcPr>
            <w:tcW w:w="1177" w:type="dxa"/>
            <w:tcBorders>
              <w:top w:val="single" w:color="000000" w:sz="8"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10</w:t>
            </w:r>
          </w:p>
        </w:tc>
        <w:tc>
          <w:tcPr>
            <w:tcW w:w="912" w:type="dxa"/>
            <w:tcBorders>
              <w:top w:val="single" w:color="000000" w:sz="8" w:space="0"/>
              <w:left w:val="single" w:color="000000" w:sz="6" w:space="0"/>
              <w:bottom w:val="single" w:color="000000" w:sz="6" w:space="0"/>
              <w:right w:val="nil"/>
            </w:tcBorders>
            <w:vAlign w:val="center"/>
          </w:tcPr>
          <w:p>
            <w:pPr>
              <w:pStyle w:val="11"/>
              <w:kinsoku w:val="0"/>
              <w:overflowPunct w:val="0"/>
              <w:spacing w:before="112"/>
              <w:ind w:right="6"/>
              <w:jc w:val="center"/>
              <w:rPr>
                <w:rFonts w:eastAsia="Times New Roman"/>
              </w:rPr>
            </w:pPr>
            <w:r>
              <w:rPr>
                <w:rFonts w:eastAsia="Times New Roman"/>
                <w:sz w:val="21"/>
              </w:rPr>
              <w:t>10</w:t>
            </w:r>
          </w:p>
        </w:tc>
      </w:tr>
      <w:tr>
        <w:tblPrEx>
          <w:tblCellMar>
            <w:top w:w="0" w:type="dxa"/>
            <w:left w:w="0" w:type="dxa"/>
            <w:bottom w:w="0" w:type="dxa"/>
            <w:right w:w="0" w:type="dxa"/>
          </w:tblCellMar>
        </w:tblPrEx>
        <w:trPr>
          <w:trHeight w:val="482" w:hRule="exact"/>
        </w:trPr>
        <w:tc>
          <w:tcPr>
            <w:tcW w:w="800" w:type="dxa"/>
            <w:tcBorders>
              <w:top w:val="single" w:color="000000" w:sz="6" w:space="0"/>
              <w:left w:val="nil"/>
              <w:bottom w:val="single" w:color="000000" w:sz="6" w:space="0"/>
              <w:right w:val="single" w:color="000000" w:sz="6" w:space="0"/>
            </w:tcBorders>
            <w:vAlign w:val="center"/>
          </w:tcPr>
          <w:p>
            <w:pPr>
              <w:pStyle w:val="11"/>
              <w:kinsoku w:val="0"/>
              <w:overflowPunct w:val="0"/>
              <w:spacing w:before="112"/>
              <w:ind w:left="9"/>
              <w:jc w:val="center"/>
              <w:rPr>
                <w:rFonts w:eastAsia="Times New Roman"/>
              </w:rPr>
            </w:pPr>
            <w:r>
              <w:rPr>
                <w:rFonts w:eastAsia="Times New Roman"/>
                <w:sz w:val="21"/>
              </w:rPr>
              <w:t>C2</w:t>
            </w:r>
          </w:p>
        </w:tc>
        <w:tc>
          <w:tcPr>
            <w:tcW w:w="4106" w:type="dxa"/>
            <w:tcBorders>
              <w:top w:val="single" w:color="000000" w:sz="6" w:space="0"/>
              <w:left w:val="single" w:color="000000" w:sz="6" w:space="0"/>
              <w:bottom w:val="single" w:color="000000" w:sz="6" w:space="0"/>
              <w:right w:val="single" w:color="000000" w:sz="6" w:space="0"/>
            </w:tcBorders>
          </w:tcPr>
          <w:p>
            <w:pPr>
              <w:pStyle w:val="11"/>
              <w:kinsoku w:val="0"/>
              <w:overflowPunct w:val="0"/>
              <w:spacing w:before="63"/>
              <w:ind w:left="99"/>
              <w:jc w:val="both"/>
              <w:rPr>
                <w:rFonts w:eastAsia="Times New Roman"/>
              </w:rPr>
            </w:pPr>
            <w:r>
              <w:rPr>
                <w:rFonts w:hint="eastAsia" w:ascii="宋体" w:eastAsia="宋体"/>
                <w:spacing w:val="-2"/>
                <w:sz w:val="21"/>
              </w:rPr>
              <w:t>日间照护中心案例实际照护</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2"/>
              <w:ind w:right="4"/>
              <w:jc w:val="center"/>
              <w:rPr>
                <w:rFonts w:eastAsia="Times New Roman"/>
              </w:rPr>
            </w:pPr>
            <w:r>
              <w:rPr>
                <w:rFonts w:eastAsia="Times New Roman"/>
                <w:sz w:val="21"/>
              </w:rPr>
              <w:t>25</w:t>
            </w:r>
          </w:p>
        </w:tc>
        <w:tc>
          <w:tcPr>
            <w:tcW w:w="1026"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3</w:t>
            </w:r>
          </w:p>
        </w:tc>
        <w:tc>
          <w:tcPr>
            <w:tcW w:w="1177"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77</w:t>
            </w:r>
          </w:p>
        </w:tc>
        <w:tc>
          <w:tcPr>
            <w:tcW w:w="912" w:type="dxa"/>
            <w:tcBorders>
              <w:top w:val="single" w:color="000000" w:sz="6" w:space="0"/>
              <w:left w:val="single" w:color="000000" w:sz="6" w:space="0"/>
              <w:bottom w:val="single" w:color="000000" w:sz="6" w:space="0"/>
              <w:right w:val="nil"/>
            </w:tcBorders>
            <w:vAlign w:val="center"/>
          </w:tcPr>
          <w:p>
            <w:pPr>
              <w:pStyle w:val="11"/>
              <w:kinsoku w:val="0"/>
              <w:overflowPunct w:val="0"/>
              <w:spacing w:before="112"/>
              <w:ind w:right="6"/>
              <w:jc w:val="center"/>
              <w:rPr>
                <w:rFonts w:eastAsia="Times New Roman"/>
              </w:rPr>
            </w:pPr>
            <w:r>
              <w:rPr>
                <w:rFonts w:eastAsia="Times New Roman"/>
                <w:sz w:val="21"/>
              </w:rPr>
              <w:t>80</w:t>
            </w:r>
          </w:p>
        </w:tc>
      </w:tr>
      <w:tr>
        <w:tblPrEx>
          <w:tblCellMar>
            <w:top w:w="0" w:type="dxa"/>
            <w:left w:w="0" w:type="dxa"/>
            <w:bottom w:w="0" w:type="dxa"/>
            <w:right w:w="0" w:type="dxa"/>
          </w:tblCellMar>
        </w:tblPrEx>
        <w:trPr>
          <w:trHeight w:val="979" w:hRule="exact"/>
        </w:trPr>
        <w:tc>
          <w:tcPr>
            <w:tcW w:w="800" w:type="dxa"/>
            <w:tcBorders>
              <w:top w:val="single" w:color="000000" w:sz="6" w:space="0"/>
              <w:left w:val="nil"/>
              <w:bottom w:val="single" w:color="000000" w:sz="28" w:space="0"/>
              <w:right w:val="single" w:color="000000" w:sz="6" w:space="0"/>
            </w:tcBorders>
            <w:vAlign w:val="center"/>
          </w:tcPr>
          <w:p>
            <w:pPr>
              <w:pStyle w:val="11"/>
              <w:kinsoku w:val="0"/>
              <w:overflowPunct w:val="0"/>
              <w:ind w:left="9"/>
              <w:jc w:val="center"/>
              <w:rPr>
                <w:rFonts w:eastAsia="Times New Roman"/>
              </w:rPr>
            </w:pPr>
            <w:r>
              <w:rPr>
                <w:rFonts w:eastAsia="Times New Roman"/>
                <w:sz w:val="21"/>
              </w:rPr>
              <w:t>C3</w:t>
            </w:r>
          </w:p>
        </w:tc>
        <w:tc>
          <w:tcPr>
            <w:tcW w:w="4106"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spacing w:before="63"/>
              <w:jc w:val="both"/>
              <w:rPr>
                <w:rFonts w:eastAsia="Times New Roman"/>
              </w:rPr>
            </w:pPr>
            <w:r>
              <w:rPr>
                <w:rFonts w:hint="eastAsia" w:ascii="宋体" w:eastAsia="宋体"/>
                <w:spacing w:val="-2"/>
                <w:sz w:val="21"/>
              </w:rPr>
              <w:t>日间照护中心案例健康教育海报或反</w:t>
            </w:r>
            <w:r>
              <w:rPr>
                <w:rFonts w:hint="eastAsia" w:ascii="宋体" w:eastAsia="宋体"/>
                <w:sz w:val="21"/>
              </w:rPr>
              <w:t>思报告</w:t>
            </w:r>
          </w:p>
        </w:tc>
        <w:tc>
          <w:tcPr>
            <w:tcW w:w="1082"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ind w:right="4"/>
              <w:jc w:val="center"/>
              <w:rPr>
                <w:rFonts w:eastAsia="Times New Roman"/>
              </w:rPr>
            </w:pPr>
            <w:r>
              <w:rPr>
                <w:rFonts w:eastAsia="Times New Roman"/>
                <w:sz w:val="21"/>
              </w:rPr>
              <w:t>25</w:t>
            </w:r>
          </w:p>
        </w:tc>
        <w:tc>
          <w:tcPr>
            <w:tcW w:w="1026"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jc w:val="center"/>
              <w:rPr>
                <w:rFonts w:eastAsia="Times New Roman"/>
              </w:rPr>
            </w:pPr>
            <w:r>
              <w:rPr>
                <w:rFonts w:eastAsia="Times New Roman"/>
                <w:sz w:val="21"/>
              </w:rPr>
              <w:t>0</w:t>
            </w:r>
          </w:p>
        </w:tc>
        <w:tc>
          <w:tcPr>
            <w:tcW w:w="1177"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jc w:val="center"/>
              <w:rPr>
                <w:rFonts w:eastAsia="Times New Roman"/>
              </w:rPr>
            </w:pPr>
            <w:r>
              <w:rPr>
                <w:rFonts w:eastAsia="Times New Roman"/>
                <w:sz w:val="21"/>
              </w:rPr>
              <w:t>10</w:t>
            </w:r>
          </w:p>
        </w:tc>
        <w:tc>
          <w:tcPr>
            <w:tcW w:w="912" w:type="dxa"/>
            <w:tcBorders>
              <w:top w:val="single" w:color="000000" w:sz="6" w:space="0"/>
              <w:left w:val="single" w:color="000000" w:sz="6" w:space="0"/>
              <w:bottom w:val="single" w:color="000000" w:sz="28" w:space="0"/>
              <w:right w:val="nil"/>
            </w:tcBorders>
            <w:vAlign w:val="center"/>
          </w:tcPr>
          <w:p>
            <w:pPr>
              <w:pStyle w:val="11"/>
              <w:kinsoku w:val="0"/>
              <w:overflowPunct w:val="0"/>
              <w:ind w:right="6"/>
              <w:jc w:val="center"/>
              <w:rPr>
                <w:rFonts w:eastAsia="Times New Roman"/>
              </w:rPr>
            </w:pPr>
            <w:r>
              <w:rPr>
                <w:rFonts w:eastAsia="Times New Roman"/>
                <w:sz w:val="21"/>
              </w:rPr>
              <w:t>10</w:t>
            </w:r>
          </w:p>
        </w:tc>
      </w:tr>
      <w:tr>
        <w:tblPrEx>
          <w:tblCellMar>
            <w:top w:w="0" w:type="dxa"/>
            <w:left w:w="0" w:type="dxa"/>
            <w:bottom w:w="0" w:type="dxa"/>
            <w:right w:w="0" w:type="dxa"/>
          </w:tblCellMar>
        </w:tblPrEx>
        <w:trPr>
          <w:trHeight w:val="485" w:hRule="exact"/>
        </w:trPr>
        <w:tc>
          <w:tcPr>
            <w:tcW w:w="800" w:type="dxa"/>
            <w:tcBorders>
              <w:top w:val="single" w:color="000000" w:sz="8" w:space="0"/>
              <w:left w:val="nil"/>
              <w:bottom w:val="single" w:color="000000" w:sz="6" w:space="0"/>
              <w:right w:val="single" w:color="000000" w:sz="6" w:space="0"/>
            </w:tcBorders>
            <w:vAlign w:val="center"/>
          </w:tcPr>
          <w:p>
            <w:pPr>
              <w:pStyle w:val="11"/>
              <w:kinsoku w:val="0"/>
              <w:overflowPunct w:val="0"/>
              <w:snapToGrid w:val="0"/>
              <w:ind w:left="272"/>
              <w:rPr>
                <w:rFonts w:eastAsia="Times New Roman"/>
              </w:rPr>
            </w:pPr>
            <w:r>
              <w:rPr>
                <w:rFonts w:eastAsia="Times New Roman"/>
                <w:spacing w:val="1"/>
                <w:sz w:val="21"/>
              </w:rPr>
              <w:t>D1</w:t>
            </w:r>
          </w:p>
        </w:tc>
        <w:tc>
          <w:tcPr>
            <w:tcW w:w="4106" w:type="dxa"/>
            <w:tcBorders>
              <w:top w:val="single" w:color="000000" w:sz="8" w:space="0"/>
              <w:left w:val="single" w:color="000000" w:sz="6" w:space="0"/>
              <w:bottom w:val="single" w:color="000000" w:sz="6" w:space="0"/>
              <w:right w:val="single" w:color="000000" w:sz="6" w:space="0"/>
            </w:tcBorders>
          </w:tcPr>
          <w:p>
            <w:pPr>
              <w:pStyle w:val="11"/>
              <w:kinsoku w:val="0"/>
              <w:overflowPunct w:val="0"/>
              <w:spacing w:before="63"/>
              <w:ind w:left="99"/>
              <w:jc w:val="both"/>
              <w:rPr>
                <w:rFonts w:eastAsia="Times New Roman"/>
              </w:rPr>
            </w:pPr>
            <w:r>
              <w:rPr>
                <w:rFonts w:hint="eastAsia" w:ascii="宋体" w:eastAsia="宋体"/>
                <w:spacing w:val="-2"/>
                <w:sz w:val="21"/>
              </w:rPr>
              <w:t>家庭案例照护计划</w:t>
            </w:r>
          </w:p>
        </w:tc>
        <w:tc>
          <w:tcPr>
            <w:tcW w:w="1082" w:type="dxa"/>
            <w:tcBorders>
              <w:top w:val="single" w:color="000000" w:sz="8" w:space="0"/>
              <w:left w:val="single" w:color="000000" w:sz="6" w:space="0"/>
              <w:bottom w:val="single" w:color="000000" w:sz="6" w:space="0"/>
              <w:right w:val="single" w:color="000000" w:sz="6" w:space="0"/>
            </w:tcBorders>
            <w:vAlign w:val="center"/>
          </w:tcPr>
          <w:p>
            <w:pPr>
              <w:pStyle w:val="11"/>
              <w:kinsoku w:val="0"/>
              <w:overflowPunct w:val="0"/>
              <w:spacing w:before="112"/>
              <w:ind w:right="4"/>
              <w:jc w:val="center"/>
              <w:rPr>
                <w:rFonts w:eastAsia="Times New Roman"/>
              </w:rPr>
            </w:pPr>
            <w:r>
              <w:rPr>
                <w:rFonts w:eastAsia="Times New Roman"/>
                <w:sz w:val="21"/>
              </w:rPr>
              <w:t>20</w:t>
            </w:r>
          </w:p>
        </w:tc>
        <w:tc>
          <w:tcPr>
            <w:tcW w:w="1026" w:type="dxa"/>
            <w:tcBorders>
              <w:top w:val="single" w:color="000000" w:sz="8"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0</w:t>
            </w:r>
          </w:p>
        </w:tc>
        <w:tc>
          <w:tcPr>
            <w:tcW w:w="1177" w:type="dxa"/>
            <w:tcBorders>
              <w:top w:val="single" w:color="000000" w:sz="8"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10</w:t>
            </w:r>
          </w:p>
        </w:tc>
        <w:tc>
          <w:tcPr>
            <w:tcW w:w="912" w:type="dxa"/>
            <w:tcBorders>
              <w:top w:val="single" w:color="000000" w:sz="8" w:space="0"/>
              <w:left w:val="single" w:color="000000" w:sz="6" w:space="0"/>
              <w:bottom w:val="single" w:color="000000" w:sz="6" w:space="0"/>
              <w:right w:val="nil"/>
            </w:tcBorders>
            <w:vAlign w:val="center"/>
          </w:tcPr>
          <w:p>
            <w:pPr>
              <w:pStyle w:val="11"/>
              <w:kinsoku w:val="0"/>
              <w:overflowPunct w:val="0"/>
              <w:spacing w:before="112"/>
              <w:ind w:right="6"/>
              <w:jc w:val="center"/>
              <w:rPr>
                <w:rFonts w:eastAsia="Times New Roman"/>
              </w:rPr>
            </w:pPr>
            <w:r>
              <w:rPr>
                <w:rFonts w:eastAsia="Times New Roman"/>
                <w:sz w:val="21"/>
              </w:rPr>
              <w:t>10</w:t>
            </w:r>
          </w:p>
        </w:tc>
      </w:tr>
      <w:tr>
        <w:tblPrEx>
          <w:tblCellMar>
            <w:top w:w="0" w:type="dxa"/>
            <w:left w:w="0" w:type="dxa"/>
            <w:bottom w:w="0" w:type="dxa"/>
            <w:right w:w="0" w:type="dxa"/>
          </w:tblCellMar>
        </w:tblPrEx>
        <w:trPr>
          <w:trHeight w:val="482" w:hRule="exact"/>
        </w:trPr>
        <w:tc>
          <w:tcPr>
            <w:tcW w:w="800" w:type="dxa"/>
            <w:tcBorders>
              <w:top w:val="single" w:color="000000" w:sz="6" w:space="0"/>
              <w:left w:val="nil"/>
              <w:bottom w:val="single" w:color="000000" w:sz="6" w:space="0"/>
              <w:right w:val="single" w:color="000000" w:sz="6" w:space="0"/>
            </w:tcBorders>
            <w:vAlign w:val="center"/>
          </w:tcPr>
          <w:p>
            <w:pPr>
              <w:pStyle w:val="11"/>
              <w:kinsoku w:val="0"/>
              <w:overflowPunct w:val="0"/>
              <w:snapToGrid w:val="0"/>
              <w:ind w:left="272"/>
              <w:rPr>
                <w:rFonts w:eastAsia="Times New Roman"/>
              </w:rPr>
            </w:pPr>
            <w:r>
              <w:rPr>
                <w:rFonts w:eastAsia="Times New Roman"/>
                <w:spacing w:val="1"/>
                <w:sz w:val="21"/>
              </w:rPr>
              <w:t>D2</w:t>
            </w:r>
          </w:p>
        </w:tc>
        <w:tc>
          <w:tcPr>
            <w:tcW w:w="4106" w:type="dxa"/>
            <w:tcBorders>
              <w:top w:val="single" w:color="000000" w:sz="6" w:space="0"/>
              <w:left w:val="single" w:color="000000" w:sz="6" w:space="0"/>
              <w:bottom w:val="single" w:color="000000" w:sz="6" w:space="0"/>
              <w:right w:val="single" w:color="000000" w:sz="6" w:space="0"/>
            </w:tcBorders>
          </w:tcPr>
          <w:p>
            <w:pPr>
              <w:pStyle w:val="11"/>
              <w:kinsoku w:val="0"/>
              <w:overflowPunct w:val="0"/>
              <w:spacing w:before="63"/>
              <w:ind w:left="99"/>
              <w:jc w:val="both"/>
              <w:rPr>
                <w:rFonts w:eastAsia="Times New Roman"/>
              </w:rPr>
            </w:pPr>
            <w:r>
              <w:rPr>
                <w:rFonts w:hint="eastAsia" w:ascii="宋体" w:eastAsia="宋体"/>
                <w:spacing w:val="-2"/>
                <w:sz w:val="21"/>
              </w:rPr>
              <w:t>家庭照护实际照护</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2"/>
              <w:ind w:right="4"/>
              <w:jc w:val="center"/>
              <w:rPr>
                <w:rFonts w:eastAsia="Times New Roman"/>
              </w:rPr>
            </w:pPr>
            <w:r>
              <w:rPr>
                <w:rFonts w:eastAsia="Times New Roman"/>
                <w:sz w:val="21"/>
              </w:rPr>
              <w:t>25</w:t>
            </w:r>
          </w:p>
        </w:tc>
        <w:tc>
          <w:tcPr>
            <w:tcW w:w="1026"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3</w:t>
            </w:r>
          </w:p>
        </w:tc>
        <w:tc>
          <w:tcPr>
            <w:tcW w:w="1177"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77</w:t>
            </w:r>
          </w:p>
        </w:tc>
        <w:tc>
          <w:tcPr>
            <w:tcW w:w="912" w:type="dxa"/>
            <w:tcBorders>
              <w:top w:val="single" w:color="000000" w:sz="6" w:space="0"/>
              <w:left w:val="single" w:color="000000" w:sz="6" w:space="0"/>
              <w:bottom w:val="single" w:color="000000" w:sz="6" w:space="0"/>
              <w:right w:val="nil"/>
            </w:tcBorders>
            <w:vAlign w:val="center"/>
          </w:tcPr>
          <w:p>
            <w:pPr>
              <w:pStyle w:val="11"/>
              <w:kinsoku w:val="0"/>
              <w:overflowPunct w:val="0"/>
              <w:spacing w:before="112"/>
              <w:ind w:right="6"/>
              <w:jc w:val="center"/>
              <w:rPr>
                <w:rFonts w:eastAsia="Times New Roman"/>
              </w:rPr>
            </w:pPr>
            <w:r>
              <w:rPr>
                <w:rFonts w:eastAsia="Times New Roman"/>
                <w:sz w:val="21"/>
              </w:rPr>
              <w:t>80</w:t>
            </w:r>
          </w:p>
        </w:tc>
      </w:tr>
      <w:tr>
        <w:tblPrEx>
          <w:tblCellMar>
            <w:top w:w="0" w:type="dxa"/>
            <w:left w:w="0" w:type="dxa"/>
            <w:bottom w:w="0" w:type="dxa"/>
            <w:right w:w="0" w:type="dxa"/>
          </w:tblCellMar>
        </w:tblPrEx>
        <w:trPr>
          <w:trHeight w:val="514" w:hRule="exact"/>
        </w:trPr>
        <w:tc>
          <w:tcPr>
            <w:tcW w:w="800" w:type="dxa"/>
            <w:tcBorders>
              <w:top w:val="single" w:color="000000" w:sz="6" w:space="0"/>
              <w:left w:val="nil"/>
              <w:bottom w:val="single" w:color="000000" w:sz="28" w:space="0"/>
              <w:right w:val="single" w:color="000000" w:sz="6" w:space="0"/>
            </w:tcBorders>
            <w:vAlign w:val="center"/>
          </w:tcPr>
          <w:p>
            <w:pPr>
              <w:pStyle w:val="11"/>
              <w:kinsoku w:val="0"/>
              <w:overflowPunct w:val="0"/>
              <w:snapToGrid w:val="0"/>
              <w:ind w:left="272"/>
              <w:rPr>
                <w:rFonts w:eastAsia="Times New Roman"/>
              </w:rPr>
            </w:pPr>
            <w:r>
              <w:rPr>
                <w:rFonts w:eastAsia="Times New Roman"/>
                <w:spacing w:val="1"/>
                <w:sz w:val="21"/>
              </w:rPr>
              <w:t>D3</w:t>
            </w:r>
          </w:p>
        </w:tc>
        <w:tc>
          <w:tcPr>
            <w:tcW w:w="4106" w:type="dxa"/>
            <w:tcBorders>
              <w:top w:val="single" w:color="000000" w:sz="6" w:space="0"/>
              <w:left w:val="single" w:color="000000" w:sz="6" w:space="0"/>
              <w:bottom w:val="single" w:color="000000" w:sz="28" w:space="0"/>
              <w:right w:val="single" w:color="000000" w:sz="6" w:space="0"/>
            </w:tcBorders>
          </w:tcPr>
          <w:p>
            <w:pPr>
              <w:pStyle w:val="11"/>
              <w:kinsoku w:val="0"/>
              <w:overflowPunct w:val="0"/>
              <w:spacing w:before="65"/>
              <w:ind w:left="99"/>
              <w:jc w:val="both"/>
              <w:rPr>
                <w:rFonts w:eastAsia="Times New Roman"/>
              </w:rPr>
            </w:pPr>
            <w:r>
              <w:rPr>
                <w:rFonts w:hint="eastAsia" w:ascii="宋体" w:eastAsia="宋体"/>
                <w:spacing w:val="-2"/>
                <w:sz w:val="21"/>
              </w:rPr>
              <w:t>家庭案例健康教育海报或反思报告</w:t>
            </w:r>
          </w:p>
        </w:tc>
        <w:tc>
          <w:tcPr>
            <w:tcW w:w="1082"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spacing w:before="115"/>
              <w:ind w:right="4"/>
              <w:jc w:val="center"/>
              <w:rPr>
                <w:rFonts w:eastAsia="Times New Roman"/>
              </w:rPr>
            </w:pPr>
            <w:r>
              <w:rPr>
                <w:rFonts w:eastAsia="Times New Roman"/>
                <w:sz w:val="21"/>
              </w:rPr>
              <w:t>25</w:t>
            </w:r>
          </w:p>
        </w:tc>
        <w:tc>
          <w:tcPr>
            <w:tcW w:w="1026"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spacing w:before="115"/>
              <w:jc w:val="center"/>
              <w:rPr>
                <w:rFonts w:eastAsia="Times New Roman"/>
              </w:rPr>
            </w:pPr>
            <w:r>
              <w:rPr>
                <w:rFonts w:eastAsia="Times New Roman"/>
                <w:sz w:val="21"/>
              </w:rPr>
              <w:t>0</w:t>
            </w:r>
          </w:p>
        </w:tc>
        <w:tc>
          <w:tcPr>
            <w:tcW w:w="1177"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spacing w:before="115"/>
              <w:jc w:val="center"/>
              <w:rPr>
                <w:rFonts w:eastAsia="Times New Roman"/>
              </w:rPr>
            </w:pPr>
            <w:r>
              <w:rPr>
                <w:rFonts w:eastAsia="Times New Roman"/>
                <w:sz w:val="21"/>
              </w:rPr>
              <w:t>10</w:t>
            </w:r>
          </w:p>
        </w:tc>
        <w:tc>
          <w:tcPr>
            <w:tcW w:w="912" w:type="dxa"/>
            <w:tcBorders>
              <w:top w:val="single" w:color="000000" w:sz="6" w:space="0"/>
              <w:left w:val="single" w:color="000000" w:sz="6" w:space="0"/>
              <w:bottom w:val="single" w:color="000000" w:sz="28" w:space="0"/>
              <w:right w:val="nil"/>
            </w:tcBorders>
            <w:vAlign w:val="center"/>
          </w:tcPr>
          <w:p>
            <w:pPr>
              <w:pStyle w:val="11"/>
              <w:kinsoku w:val="0"/>
              <w:overflowPunct w:val="0"/>
              <w:spacing w:before="115"/>
              <w:ind w:right="6"/>
              <w:jc w:val="center"/>
              <w:rPr>
                <w:rFonts w:eastAsia="Times New Roman"/>
              </w:rPr>
            </w:pPr>
            <w:r>
              <w:rPr>
                <w:rFonts w:eastAsia="Times New Roman"/>
                <w:sz w:val="21"/>
              </w:rPr>
              <w:t>10</w:t>
            </w:r>
          </w:p>
        </w:tc>
      </w:tr>
    </w:tbl>
    <w:p>
      <w:pPr>
        <w:pStyle w:val="2"/>
        <w:kinsoku w:val="0"/>
        <w:overflowPunct w:val="0"/>
        <w:ind w:left="0"/>
        <w:jc w:val="both"/>
        <w:rPr>
          <w:sz w:val="2"/>
        </w:rPr>
      </w:pPr>
    </w:p>
    <w:tbl>
      <w:tblPr>
        <w:tblStyle w:val="6"/>
        <w:tblW w:w="9131" w:type="dxa"/>
        <w:tblInd w:w="95" w:type="dxa"/>
        <w:tblLayout w:type="fixed"/>
        <w:tblCellMar>
          <w:top w:w="0" w:type="dxa"/>
          <w:left w:w="0" w:type="dxa"/>
          <w:bottom w:w="0" w:type="dxa"/>
          <w:right w:w="0" w:type="dxa"/>
        </w:tblCellMar>
      </w:tblPr>
      <w:tblGrid>
        <w:gridCol w:w="4859"/>
        <w:gridCol w:w="1121"/>
        <w:gridCol w:w="1044"/>
        <w:gridCol w:w="1158"/>
        <w:gridCol w:w="949"/>
      </w:tblGrid>
      <w:tr>
        <w:tblPrEx>
          <w:tblCellMar>
            <w:top w:w="0" w:type="dxa"/>
            <w:left w:w="0" w:type="dxa"/>
            <w:bottom w:w="0" w:type="dxa"/>
            <w:right w:w="0" w:type="dxa"/>
          </w:tblCellMar>
        </w:tblPrEx>
        <w:trPr>
          <w:trHeight w:val="521" w:hRule="exact"/>
        </w:trPr>
        <w:tc>
          <w:tcPr>
            <w:tcW w:w="4859" w:type="dxa"/>
            <w:tcBorders>
              <w:top w:val="single" w:color="000000" w:sz="8" w:space="0"/>
              <w:left w:val="nil"/>
              <w:bottom w:val="single" w:color="000000" w:sz="12" w:space="0"/>
              <w:right w:val="single" w:color="000000" w:sz="6" w:space="0"/>
            </w:tcBorders>
          </w:tcPr>
          <w:p>
            <w:pPr>
              <w:pStyle w:val="11"/>
              <w:kinsoku w:val="0"/>
              <w:overflowPunct w:val="0"/>
              <w:spacing w:before="61"/>
              <w:ind w:left="21"/>
              <w:jc w:val="center"/>
              <w:rPr>
                <w:rFonts w:eastAsia="Times New Roman"/>
              </w:rPr>
            </w:pPr>
            <w:r>
              <w:rPr>
                <w:rFonts w:hint="eastAsia" w:ascii="宋体" w:eastAsia="宋体"/>
                <w:sz w:val="21"/>
              </w:rPr>
              <w:t>总计</w:t>
            </w:r>
          </w:p>
        </w:tc>
        <w:tc>
          <w:tcPr>
            <w:tcW w:w="1121" w:type="dxa"/>
            <w:tcBorders>
              <w:top w:val="single" w:color="000000" w:sz="8" w:space="0"/>
              <w:left w:val="single" w:color="000000" w:sz="6" w:space="0"/>
              <w:bottom w:val="single" w:color="000000" w:sz="12" w:space="0"/>
              <w:right w:val="single" w:color="000000" w:sz="6" w:space="0"/>
            </w:tcBorders>
            <w:vAlign w:val="center"/>
          </w:tcPr>
          <w:p>
            <w:pPr>
              <w:pStyle w:val="11"/>
              <w:kinsoku w:val="0"/>
              <w:overflowPunct w:val="0"/>
              <w:spacing w:before="110"/>
              <w:ind w:right="1"/>
              <w:jc w:val="center"/>
              <w:rPr>
                <w:rFonts w:eastAsia="Times New Roman"/>
              </w:rPr>
            </w:pPr>
            <w:r>
              <w:rPr>
                <w:rFonts w:eastAsia="Times New Roman"/>
                <w:sz w:val="21"/>
              </w:rPr>
              <w:t>280</w:t>
            </w:r>
          </w:p>
        </w:tc>
        <w:tc>
          <w:tcPr>
            <w:tcW w:w="1044" w:type="dxa"/>
            <w:tcBorders>
              <w:top w:val="single" w:color="000000" w:sz="8" w:space="0"/>
              <w:left w:val="single" w:color="000000" w:sz="6" w:space="0"/>
              <w:bottom w:val="single" w:color="000000" w:sz="12" w:space="0"/>
              <w:right w:val="single" w:color="000000" w:sz="6" w:space="0"/>
            </w:tcBorders>
            <w:vAlign w:val="center"/>
          </w:tcPr>
          <w:p>
            <w:pPr>
              <w:pStyle w:val="11"/>
              <w:kinsoku w:val="0"/>
              <w:overflowPunct w:val="0"/>
              <w:spacing w:before="110"/>
              <w:jc w:val="center"/>
              <w:rPr>
                <w:rFonts w:eastAsia="Times New Roman"/>
              </w:rPr>
            </w:pPr>
            <w:r>
              <w:rPr>
                <w:rFonts w:eastAsia="Times New Roman"/>
                <w:sz w:val="21"/>
              </w:rPr>
              <w:t>12</w:t>
            </w:r>
          </w:p>
        </w:tc>
        <w:tc>
          <w:tcPr>
            <w:tcW w:w="1158" w:type="dxa"/>
            <w:tcBorders>
              <w:top w:val="single" w:color="000000" w:sz="8" w:space="0"/>
              <w:left w:val="single" w:color="000000" w:sz="6" w:space="0"/>
              <w:bottom w:val="single" w:color="000000" w:sz="12" w:space="0"/>
              <w:right w:val="single" w:color="000000" w:sz="6" w:space="0"/>
            </w:tcBorders>
            <w:vAlign w:val="center"/>
          </w:tcPr>
          <w:p>
            <w:pPr>
              <w:pStyle w:val="11"/>
              <w:kinsoku w:val="0"/>
              <w:overflowPunct w:val="0"/>
              <w:spacing w:before="110"/>
              <w:jc w:val="center"/>
              <w:rPr>
                <w:rFonts w:eastAsia="Times New Roman"/>
              </w:rPr>
            </w:pPr>
            <w:r>
              <w:rPr>
                <w:rFonts w:eastAsia="Times New Roman"/>
                <w:sz w:val="21"/>
              </w:rPr>
              <w:t>388</w:t>
            </w:r>
          </w:p>
        </w:tc>
        <w:tc>
          <w:tcPr>
            <w:tcW w:w="949" w:type="dxa"/>
            <w:tcBorders>
              <w:top w:val="single" w:color="000000" w:sz="8" w:space="0"/>
              <w:left w:val="single" w:color="000000" w:sz="6" w:space="0"/>
              <w:bottom w:val="single" w:color="000000" w:sz="12" w:space="0"/>
              <w:right w:val="nil"/>
            </w:tcBorders>
            <w:vAlign w:val="center"/>
          </w:tcPr>
          <w:p>
            <w:pPr>
              <w:pStyle w:val="11"/>
              <w:kinsoku w:val="0"/>
              <w:overflowPunct w:val="0"/>
              <w:spacing w:before="110"/>
              <w:ind w:right="6"/>
              <w:jc w:val="center"/>
              <w:rPr>
                <w:rFonts w:eastAsia="Times New Roman"/>
              </w:rPr>
            </w:pPr>
            <w:r>
              <w:rPr>
                <w:rFonts w:eastAsia="Times New Roman"/>
                <w:sz w:val="21"/>
              </w:rPr>
              <w:t>400</w:t>
            </w:r>
          </w:p>
        </w:tc>
      </w:tr>
    </w:tbl>
    <w:p>
      <w:pPr>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1.模块A：医院案例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该模块设置场景在医院内，主要选择的案例为医院场景下常见或是危重病情的照护特色。重点考核选手的评估能力、医疗仪器设备的使用能力，以及虚弱患者的照护能力。每位选手比赛1个案例，每个案例用时70分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2.模块B：长期照护中心案例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该模块设置场景在养老机构内，主要选择的案例为老年人在长期照护中的照护特色。重点考核评估、疾病照护、营养改善及心理社会支持等能力。每位选手比赛1个案例，每个案例用时70分钟。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3.模块C：日间照护中心案例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该模块设置在日间照护中心内，主要选择的案例为慢性疾病、日常居家照护，遇到特殊医疗需求，在日间照护中心得到满足为特征。重点考核对于日常情况下的照护能力。每位选手比赛1个案例，每个案例用时70分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4.模块D:家庭案例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该模块设置在家庭内，主要选择的案例为慢性疾病案例，需要长期照护服务对象的居家照护为特征。重点考核选手的日常评估、健康教育和沟通能力。每位选手比赛1个案例，每个案例用时70分钟。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*标准化病人（StandardPatient，SP）</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赛项使用标准化病人配合案例展现。选择非医学类、非公共服务与管理类专业的学生，愿意参与并能够保证培训及比赛时间的人员，一般需要8-10名。针对比赛,SP事先接受统一的培训，学习公布的比赛文件。比赛当日晨，按照选择案例要求SP按照场景及案例表演，当场发放脚本并告知SP配合的要求，包括回答问题的内容、被测量的结果报告、需要语言表达和肢体表现的具体要求等，并在这个案例中统一呈现，为每一名选手提供公平一致的配合。</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（三）竞赛形式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赛项采用单人竞赛模式，根据现场竞赛选手报名人数，确定每位选手可参与的竞赛模块数（如每位选手可抽取案例库中的1-4个模块）。竞赛有A、B、C、D四个模块，每个模块程序相同，竞赛时间相同，为70分钟。每个模块有1个案例，每个案例分为3个部分，分别是照护计划（20分钟）、实际照护（25分钟）、健康教育海报或反思报告（25分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例如：选手参加A模块竞赛，首先进入“照护计划”竞赛区，在规定的时间（20分钟）阅读案例及相关信息资料，制定并撰写案例照护计划；然后进入此模块的“实际照护”竞赛区，利用现有的资源，自取用物，与SP配合，完成规定的任务，实现对SP的自主和独立的健康与社会照护过程；最后进入此模块“健康教育海报或反思报告”竞赛区完成最后任务。裁判在旁观察及评分，不予提问和干扰。选手不需要向裁判做任何解释和交流。每个竞赛区独立计时，如见图1。</w:t>
      </w:r>
    </w:p>
    <w:p>
      <w:pPr>
        <w:ind w:firstLine="420" w:firstLineChars="200"/>
        <w:jc w:val="center"/>
        <w:rPr>
          <w:rFonts w:ascii="仿宋_GB2312" w:hAnsi="仿宋_GB2312" w:eastAsia="仿宋_GB2312" w:cs="仿宋_GB2312"/>
          <w:sz w:val="30"/>
          <w:szCs w:val="30"/>
        </w:rPr>
      </w:pPr>
      <w:r>
        <w:rPr>
          <w:rFonts w:eastAsia="Times New Roman"/>
        </w:rPr>
        <w:drawing>
          <wp:inline distT="0" distB="0" distL="0" distR="0">
            <wp:extent cx="5086350" cy="11144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86350" cy="1114425"/>
                    </a:xfrm>
                    <a:prstGeom prst="rect">
                      <a:avLst/>
                    </a:prstGeom>
                    <a:noFill/>
                    <a:ln>
                      <a:noFill/>
                    </a:ln>
                  </pic:spPr>
                </pic:pic>
              </a:graphicData>
            </a:graphic>
          </wp:inline>
        </w:drawing>
      </w:r>
      <w:r>
        <w:rPr>
          <w:rFonts w:hint="eastAsia" w:ascii="仿宋_GB2312" w:hAnsi="仿宋_GB2312" w:eastAsia="仿宋_GB2312" w:cs="仿宋_GB2312"/>
          <w:sz w:val="30"/>
          <w:szCs w:val="30"/>
        </w:rPr>
        <w:t>图1</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一个模块竞赛顺序</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（四）竞赛时长</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每个模块竞赛时间为70分钟，其中书面计划部分20分钟，实际照护部分分25分钟，健康教育海报或是反思报告25分钟。每位参赛选手在规定时间完成四个模块的所有任务。</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（五）成绩比例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竞赛成绩采用每个模块百分制、分步计分，最后总和。</w:t>
      </w:r>
    </w:p>
    <w:p>
      <w:pPr>
        <w:ind w:firstLine="600" w:firstLineChars="200"/>
        <w:rPr>
          <w:rFonts w:ascii="黑体" w:hAnsi="黑体" w:eastAsia="黑体" w:cs="黑体"/>
          <w:bCs/>
          <w:sz w:val="30"/>
          <w:szCs w:val="30"/>
        </w:rPr>
      </w:pPr>
      <w:r>
        <w:rPr>
          <w:rFonts w:hint="eastAsia" w:ascii="黑体" w:hAnsi="黑体" w:eastAsia="黑体" w:cs="黑体"/>
          <w:bCs/>
          <w:sz w:val="30"/>
          <w:szCs w:val="30"/>
        </w:rPr>
        <w:t>四、竞赛方式</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（一）参赛队组成与资格审查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1.参赛队组成</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普通高等专科学校或高等职业学院可组队参赛。同一学校领队1名，可报4名参赛选手，每名选手可配指导教师1名，指导教师须为本校专、兼职教师。参赛选手和指导教师的对应关系一经确定不得随意变更。若备赛过程中，参赛选手和指导教师因故无法参赛，需由参赛院校于开赛前五个工作日内出具书面说明，经大赛组委会审核同意后方可更换。报到时须携带学生证、身份证原件。</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2.报名资格及审查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参赛选手须为普通高等职业院校全日制在籍学生。年龄不超过25周岁。年龄计算的截止时间以2020年11月1日为准。凡在往届全国职业院校技能大赛中获一等奖的参赛选手，不能再参加比赛。</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各参赛院校报到时须提交： 参赛队信息汇总表（见附件表1）、参赛选手报名表（见附件表2）、参赛选手信息表（见附件表3）、学生证和、身份证原件、参赛选手同底版2寸照片2张、选手录取审批表复印件或电子学籍表复印件各1份，大赛组委会将对参赛人员进行严格审查。</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联系人：张峰，联系电话：0377-63526263，16637757726。</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（二）抽签及分组方法</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1.由赛项执委会按照竞赛流程，组织参赛选手在指定地点集合，统一公开抽签登记确定参赛选手参加竞赛模块和参赛顺序。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2.各参赛选手比赛前30分钟到赛项指定地点接受检录。由检录工作人员依照检录表进行点名核对，并检查确定无误后向裁判长递交检录单。</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3.参赛选手每天检录后在抽签区进行两次抽签加密，加密后参赛选手中途不得擅自离开赛场。分别由两组加密裁判组织实施加密工作，管理加密结果。监督员全程监督加密过程。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一次抽签加密：第一组加密裁判组织参赛选手进行第一次抽签，抽取第二次抽签顺序号，由选手本人核对登记表上的姓名、性别、身份证号和地区，确认无误后填写顺序号并签字。加密裁判替换参赛选手参赛证等个人身份信息，并发放第二次抽签顺序牌。第一次加密登记表完成后，加密裁判连同参赛选手参赛证等个人身份信息证件，装入第一次加密结果密封袋中单独保管。（见附件表4）</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二次抽签加密：第二组加密裁判组织参赛选手按照第一次所抽签的顺序牌进行第二次抽签，抽取当天两个竞赛模块的参赛编号（如：编号“A1-1，B1-1”，为同一个参赛选手所用编号，即本选手上午在A1模块第1个进入比赛，下午在B1模块第1个进入比赛），由加密裁判核对登记表上顺序牌号，填写参赛编号。加密裁判替换参赛选手第一次抽取的顺序牌，发放参赛编号号码（例如胶贴）。加密裁判将第二次加密记录表、连同参赛选手顺序牌装入二次加密结果密封袋中单独保管。（见附件表5）</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4.由引导员负责引导参赛选手进入对应的候赛区等待竞赛指令，接到比赛通知后进入竞赛区，按照照护计划、实际照护、健康教育海报或反思报告三个竞赛区顺序依次完成模块规定的竞赛任务。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5.比赛开始前，在没有裁判允许的情况下，严禁随意触碰竞赛设施和阅读试题内容。比赛中途不得离开赛场。</w:t>
      </w:r>
    </w:p>
    <w:p>
      <w:pPr>
        <w:ind w:firstLine="600" w:firstLineChars="200"/>
        <w:rPr>
          <w:rFonts w:ascii="黑体" w:hAnsi="黑体" w:eastAsia="黑体" w:cs="黑体"/>
          <w:bCs/>
          <w:sz w:val="30"/>
          <w:szCs w:val="30"/>
        </w:rPr>
      </w:pPr>
      <w:r>
        <w:rPr>
          <w:rFonts w:hint="eastAsia" w:ascii="黑体" w:hAnsi="黑体" w:eastAsia="黑体" w:cs="黑体"/>
          <w:bCs/>
          <w:sz w:val="30"/>
          <w:szCs w:val="30"/>
        </w:rPr>
        <w:t>五、竞赛时间、竞赛流程与竞赛日程</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（一）竞赛时间</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报到时间：2020年10月19日。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正式比赛时间：2020年10月20-21日。根据报名参赛学生多少适当调整比赛时间。</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（二）竞赛流程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竞赛流程、竞赛模块和竞赛时间可根据选手报到情况适当调整，每天竞赛流程是一致的。（如第一模块，见图2）</w:t>
      </w:r>
    </w:p>
    <w:p>
      <w:pPr>
        <w:ind w:firstLine="420" w:firstLineChars="200"/>
        <w:rPr>
          <w:rFonts w:asciiTheme="minorEastAsia" w:hAnsiTheme="minorEastAsia"/>
          <w:sz w:val="28"/>
          <w:szCs w:val="28"/>
        </w:rPr>
      </w:pPr>
      <w:r>
        <w:drawing>
          <wp:inline distT="0" distB="0" distL="0" distR="0">
            <wp:extent cx="4933950" cy="19335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33950" cy="1933575"/>
                    </a:xfrm>
                    <a:prstGeom prst="rect">
                      <a:avLst/>
                    </a:prstGeom>
                    <a:noFill/>
                    <a:ln>
                      <a:noFill/>
                    </a:ln>
                    <a:effectLst/>
                  </pic:spPr>
                </pic:pic>
              </a:graphicData>
            </a:graphic>
          </wp:inline>
        </w:drawing>
      </w:r>
    </w:p>
    <w:p>
      <w:pPr>
        <w:ind w:firstLine="560" w:firstLineChars="200"/>
        <w:jc w:val="center"/>
        <w:rPr>
          <w:rFonts w:asciiTheme="minorEastAsia" w:hAnsiTheme="minorEastAsia"/>
          <w:sz w:val="28"/>
          <w:szCs w:val="28"/>
        </w:rPr>
      </w:pPr>
      <w:r>
        <w:rPr>
          <w:rFonts w:hint="eastAsia" w:asciiTheme="minorEastAsia" w:hAnsiTheme="minorEastAsia"/>
          <w:sz w:val="28"/>
          <w:szCs w:val="28"/>
        </w:rPr>
        <w:t>图2</w:t>
      </w:r>
      <w:r>
        <w:rPr>
          <w:rFonts w:hint="eastAsia" w:asciiTheme="minorEastAsia" w:hAnsiTheme="minorEastAsia"/>
          <w:sz w:val="28"/>
          <w:szCs w:val="28"/>
        </w:rPr>
        <w:tab/>
      </w:r>
      <w:r>
        <w:rPr>
          <w:rFonts w:hint="eastAsia" w:asciiTheme="minorEastAsia" w:hAnsiTheme="minorEastAsia"/>
          <w:sz w:val="28"/>
          <w:szCs w:val="28"/>
        </w:rPr>
        <w:t>参赛选手第一模块的竞赛流程</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（三）竞赛日程</w:t>
      </w:r>
    </w:p>
    <w:p>
      <w:pPr>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竞赛日程一览表</w:t>
      </w:r>
    </w:p>
    <w:tbl>
      <w:tblPr>
        <w:tblStyle w:val="6"/>
        <w:tblW w:w="8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2128"/>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vAlign w:val="center"/>
          </w:tcPr>
          <w:p>
            <w:pPr>
              <w:snapToGrid w:val="0"/>
              <w:jc w:val="center"/>
              <w:rPr>
                <w:rFonts w:ascii="黑体" w:hAnsi="黑体" w:eastAsia="黑体" w:cs="黑体"/>
                <w:bCs/>
                <w:sz w:val="24"/>
                <w:szCs w:val="24"/>
              </w:rPr>
            </w:pPr>
            <w:r>
              <w:rPr>
                <w:rFonts w:hint="eastAsia" w:ascii="黑体" w:hAnsi="黑体" w:eastAsia="黑体" w:cs="黑体"/>
                <w:bCs/>
                <w:sz w:val="24"/>
                <w:szCs w:val="24"/>
              </w:rPr>
              <w:t>日期</w:t>
            </w:r>
          </w:p>
        </w:tc>
        <w:tc>
          <w:tcPr>
            <w:tcW w:w="2128" w:type="dxa"/>
            <w:vAlign w:val="center"/>
          </w:tcPr>
          <w:p>
            <w:pPr>
              <w:snapToGrid w:val="0"/>
              <w:jc w:val="center"/>
              <w:rPr>
                <w:rFonts w:ascii="黑体" w:hAnsi="黑体" w:eastAsia="黑体" w:cs="黑体"/>
                <w:bCs/>
                <w:sz w:val="24"/>
                <w:szCs w:val="24"/>
              </w:rPr>
            </w:pPr>
            <w:r>
              <w:rPr>
                <w:rFonts w:hint="eastAsia" w:ascii="黑体" w:hAnsi="黑体" w:eastAsia="黑体" w:cs="黑体"/>
                <w:bCs/>
                <w:sz w:val="24"/>
                <w:szCs w:val="24"/>
              </w:rPr>
              <w:t>时间</w:t>
            </w:r>
          </w:p>
        </w:tc>
        <w:tc>
          <w:tcPr>
            <w:tcW w:w="4590" w:type="dxa"/>
            <w:vAlign w:val="center"/>
          </w:tcPr>
          <w:p>
            <w:pPr>
              <w:snapToGrid w:val="0"/>
              <w:jc w:val="center"/>
              <w:rPr>
                <w:rFonts w:ascii="黑体" w:hAnsi="黑体" w:eastAsia="黑体" w:cs="黑体"/>
                <w:bCs/>
                <w:sz w:val="24"/>
                <w:szCs w:val="24"/>
              </w:rPr>
            </w:pPr>
            <w:r>
              <w:rPr>
                <w:rFonts w:hint="eastAsia" w:ascii="黑体" w:hAnsi="黑体" w:eastAsia="黑体" w:cs="黑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vMerge w:val="restart"/>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10月19日</w:t>
            </w: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8:30-14:00</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参赛代表队报到，领取资料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vMerge w:val="continue"/>
            <w:vAlign w:val="center"/>
          </w:tcPr>
          <w:p>
            <w:pPr>
              <w:spacing w:line="240" w:lineRule="exact"/>
              <w:jc w:val="center"/>
              <w:rPr>
                <w:rFonts w:ascii="仿宋_GB2312" w:hAnsi="仿宋_GB2312" w:eastAsia="仿宋_GB2312" w:cs="仿宋_GB2312"/>
                <w:sz w:val="24"/>
                <w:szCs w:val="24"/>
              </w:rPr>
            </w:pP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14:30-15:30</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领队会议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vMerge w:val="continue"/>
            <w:vAlign w:val="center"/>
          </w:tcPr>
          <w:p>
            <w:pPr>
              <w:spacing w:line="240" w:lineRule="exact"/>
              <w:jc w:val="center"/>
              <w:rPr>
                <w:rFonts w:ascii="仿宋_GB2312" w:hAnsi="仿宋_GB2312" w:eastAsia="仿宋_GB2312" w:cs="仿宋_GB2312"/>
                <w:sz w:val="24"/>
                <w:szCs w:val="24"/>
              </w:rPr>
            </w:pP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15:30-17:30</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按顺序熟悉场地15分钟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vMerge w:val="continue"/>
            <w:vAlign w:val="center"/>
          </w:tcPr>
          <w:p>
            <w:pPr>
              <w:spacing w:line="240" w:lineRule="exact"/>
              <w:jc w:val="center"/>
              <w:rPr>
                <w:rFonts w:ascii="仿宋_GB2312" w:hAnsi="仿宋_GB2312" w:eastAsia="仿宋_GB2312" w:cs="仿宋_GB2312"/>
                <w:sz w:val="24"/>
                <w:szCs w:val="24"/>
              </w:rPr>
            </w:pP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15:30-17:30</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裁判会议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vMerge w:val="restart"/>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10月20日</w:t>
            </w: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8:00-8:30</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vMerge w:val="continue"/>
            <w:vAlign w:val="center"/>
          </w:tcPr>
          <w:p>
            <w:pPr>
              <w:spacing w:line="240" w:lineRule="exact"/>
              <w:jc w:val="center"/>
              <w:rPr>
                <w:rFonts w:ascii="仿宋_GB2312" w:hAnsi="仿宋_GB2312" w:eastAsia="仿宋_GB2312" w:cs="仿宋_GB2312"/>
                <w:sz w:val="24"/>
                <w:szCs w:val="24"/>
              </w:rPr>
            </w:pP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8:30-9:00</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选手身份检录、抽签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vMerge w:val="continue"/>
            <w:vAlign w:val="center"/>
          </w:tcPr>
          <w:p>
            <w:pPr>
              <w:spacing w:line="240" w:lineRule="exact"/>
              <w:jc w:val="center"/>
              <w:rPr>
                <w:rFonts w:ascii="仿宋_GB2312" w:hAnsi="仿宋_GB2312" w:eastAsia="仿宋_GB2312" w:cs="仿宋_GB2312"/>
                <w:sz w:val="24"/>
                <w:szCs w:val="24"/>
              </w:rPr>
            </w:pP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9:00-12:00</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选手比赛（养老院照护模块）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vMerge w:val="continue"/>
            <w:vAlign w:val="center"/>
          </w:tcPr>
          <w:p>
            <w:pPr>
              <w:spacing w:line="240" w:lineRule="exact"/>
              <w:jc w:val="center"/>
              <w:rPr>
                <w:rFonts w:ascii="仿宋_GB2312" w:hAnsi="仿宋_GB2312" w:eastAsia="仿宋_GB2312" w:cs="仿宋_GB2312"/>
                <w:sz w:val="24"/>
                <w:szCs w:val="24"/>
              </w:rPr>
            </w:pP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12:00-12:45</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裁判、选手午餐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vMerge w:val="continue"/>
            <w:vAlign w:val="center"/>
          </w:tcPr>
          <w:p>
            <w:pPr>
              <w:spacing w:line="240" w:lineRule="exact"/>
              <w:jc w:val="center"/>
              <w:rPr>
                <w:rFonts w:asciiTheme="minorEastAsia" w:hAnsiTheme="minorEastAsia"/>
                <w:sz w:val="24"/>
                <w:szCs w:val="24"/>
              </w:rPr>
            </w:pP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12:45-18:00</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选手比赛（养老院照护模块）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vMerge w:val="restart"/>
            <w:vAlign w:val="center"/>
          </w:tcPr>
          <w:p>
            <w:pPr>
              <w:spacing w:line="240" w:lineRule="exact"/>
              <w:jc w:val="center"/>
              <w:rPr>
                <w:rFonts w:asciiTheme="minorEastAsia" w:hAnsiTheme="minorEastAsia"/>
                <w:sz w:val="24"/>
                <w:szCs w:val="24"/>
              </w:rPr>
            </w:pPr>
            <w:r>
              <w:rPr>
                <w:rFonts w:hint="eastAsia" w:ascii="仿宋_GB2312" w:hAnsi="仿宋_GB2312" w:eastAsia="仿宋_GB2312" w:cs="仿宋_GB2312"/>
                <w:sz w:val="24"/>
                <w:szCs w:val="24"/>
              </w:rPr>
              <w:t>10月21日</w:t>
            </w: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7:30-8：00</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选手身份检录、抽签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vMerge w:val="continue"/>
            <w:vAlign w:val="center"/>
          </w:tcPr>
          <w:p>
            <w:pPr>
              <w:spacing w:line="240" w:lineRule="exact"/>
              <w:rPr>
                <w:rFonts w:asciiTheme="minorEastAsia" w:hAnsiTheme="minorEastAsia"/>
                <w:sz w:val="24"/>
                <w:szCs w:val="24"/>
              </w:rPr>
            </w:pP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8:00-12:00</w:t>
            </w:r>
          </w:p>
        </w:tc>
        <w:tc>
          <w:tcPr>
            <w:tcW w:w="459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选手比赛（家庭照护模块）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vMerge w:val="continue"/>
            <w:vAlign w:val="center"/>
          </w:tcPr>
          <w:p>
            <w:pPr>
              <w:spacing w:line="240" w:lineRule="exact"/>
              <w:rPr>
                <w:rFonts w:asciiTheme="minorEastAsia" w:hAnsiTheme="minorEastAsia"/>
                <w:sz w:val="24"/>
                <w:szCs w:val="24"/>
              </w:rPr>
            </w:pP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12:00-12:45</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裁判、选手午餐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vMerge w:val="continue"/>
            <w:vAlign w:val="center"/>
          </w:tcPr>
          <w:p>
            <w:pPr>
              <w:spacing w:line="240" w:lineRule="exact"/>
              <w:rPr>
                <w:rFonts w:asciiTheme="minorEastAsia" w:hAnsiTheme="minorEastAsia"/>
                <w:sz w:val="24"/>
                <w:szCs w:val="24"/>
              </w:rPr>
            </w:pP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12:45-17:00</w:t>
            </w:r>
          </w:p>
        </w:tc>
        <w:tc>
          <w:tcPr>
            <w:tcW w:w="459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选手比赛（家庭照护模块）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vMerge w:val="continue"/>
            <w:vAlign w:val="center"/>
          </w:tcPr>
          <w:p>
            <w:pPr>
              <w:spacing w:line="240" w:lineRule="exact"/>
              <w:rPr>
                <w:rFonts w:asciiTheme="minorEastAsia" w:hAnsiTheme="minorEastAsia"/>
                <w:sz w:val="24"/>
                <w:szCs w:val="24"/>
              </w:rPr>
            </w:pP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17.30-18：00</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闭幕式</w:t>
            </w:r>
          </w:p>
        </w:tc>
      </w:tr>
    </w:tbl>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*1.所有报到人员出示健康码，测量体温，无异常方可进入。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*2.赛场工作人员服装绿色。</w:t>
      </w:r>
    </w:p>
    <w:p>
      <w:pPr>
        <w:ind w:firstLine="600" w:firstLineChars="200"/>
        <w:rPr>
          <w:rFonts w:ascii="黑体" w:hAnsi="黑体" w:eastAsia="黑体" w:cs="黑体"/>
          <w:bCs/>
          <w:sz w:val="30"/>
          <w:szCs w:val="30"/>
        </w:rPr>
      </w:pPr>
      <w:r>
        <w:rPr>
          <w:rFonts w:hint="eastAsia" w:ascii="黑体" w:hAnsi="黑体" w:eastAsia="黑体" w:cs="黑体"/>
          <w:bCs/>
          <w:sz w:val="30"/>
          <w:szCs w:val="30"/>
        </w:rPr>
        <w:t>六、竞赛赛卷</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试题库样卷见“全国职业院校技能大赛”网“2020年全国职业院校技能大赛改革试点赛赛项赛卷（赛题库）”。由于今年时间紧张，本次比赛请参照赛题库中1-3套样卷。于比赛前一天把赛卷随机排序后，在监督组的监督下，由裁判长抽取正式赛卷与备用赛卷，由专家组根据情况修改不超过30%内容。</w:t>
      </w:r>
    </w:p>
    <w:p>
      <w:pPr>
        <w:ind w:firstLine="600" w:firstLineChars="20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健康与社会照护赛项说明</w:t>
      </w:r>
    </w:p>
    <w:tbl>
      <w:tblPr>
        <w:tblStyle w:val="6"/>
        <w:tblW w:w="8880" w:type="dxa"/>
        <w:tblInd w:w="254" w:type="dxa"/>
        <w:tblLayout w:type="fixed"/>
        <w:tblCellMar>
          <w:top w:w="0" w:type="dxa"/>
          <w:left w:w="0" w:type="dxa"/>
          <w:bottom w:w="0" w:type="dxa"/>
          <w:right w:w="0" w:type="dxa"/>
        </w:tblCellMar>
      </w:tblPr>
      <w:tblGrid>
        <w:gridCol w:w="985"/>
        <w:gridCol w:w="13"/>
        <w:gridCol w:w="6808"/>
        <w:gridCol w:w="1074"/>
      </w:tblGrid>
      <w:tr>
        <w:tblPrEx>
          <w:tblCellMar>
            <w:top w:w="0" w:type="dxa"/>
            <w:left w:w="0" w:type="dxa"/>
            <w:bottom w:w="0" w:type="dxa"/>
            <w:right w:w="0" w:type="dxa"/>
          </w:tblCellMar>
        </w:tblPrEx>
        <w:trPr>
          <w:trHeight w:val="581" w:hRule="exact"/>
        </w:trPr>
        <w:tc>
          <w:tcPr>
            <w:tcW w:w="998"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ind w:left="253"/>
              <w:jc w:val="center"/>
              <w:rPr>
                <w:rFonts w:ascii="黑体" w:hAnsi="黑体" w:eastAsia="黑体" w:cs="黑体"/>
              </w:rPr>
            </w:pPr>
            <w:r>
              <w:rPr>
                <w:rFonts w:hint="eastAsia" w:ascii="黑体" w:hAnsi="黑体" w:eastAsia="黑体" w:cs="黑体"/>
                <w:b/>
                <w:spacing w:val="2"/>
              </w:rPr>
              <w:t>流程</w:t>
            </w:r>
          </w:p>
        </w:tc>
        <w:tc>
          <w:tcPr>
            <w:tcW w:w="680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黑体" w:hAnsi="黑体" w:eastAsia="黑体" w:cs="黑体"/>
              </w:rPr>
            </w:pPr>
            <w:r>
              <w:rPr>
                <w:rFonts w:hint="eastAsia" w:ascii="黑体" w:hAnsi="黑体" w:eastAsia="黑体" w:cs="黑体"/>
                <w:b/>
                <w:spacing w:val="2"/>
              </w:rPr>
              <w:t>内容</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ind w:left="289"/>
              <w:jc w:val="center"/>
              <w:rPr>
                <w:rFonts w:ascii="黑体" w:hAnsi="黑体" w:eastAsia="黑体" w:cs="黑体"/>
              </w:rPr>
            </w:pPr>
            <w:r>
              <w:rPr>
                <w:rFonts w:hint="eastAsia" w:ascii="黑体" w:hAnsi="黑体" w:eastAsia="黑体" w:cs="黑体"/>
                <w:b/>
                <w:spacing w:val="2"/>
              </w:rPr>
              <w:t>时间</w:t>
            </w:r>
          </w:p>
        </w:tc>
      </w:tr>
      <w:tr>
        <w:tblPrEx>
          <w:tblCellMar>
            <w:top w:w="0" w:type="dxa"/>
            <w:left w:w="0" w:type="dxa"/>
            <w:bottom w:w="0" w:type="dxa"/>
            <w:right w:w="0" w:type="dxa"/>
          </w:tblCellMar>
        </w:tblPrEx>
        <w:trPr>
          <w:trHeight w:val="2510" w:hRule="exact"/>
        </w:trPr>
        <w:tc>
          <w:tcPr>
            <w:tcW w:w="998" w:type="dxa"/>
            <w:gridSpan w:val="2"/>
            <w:tcBorders>
              <w:top w:val="single" w:color="000000" w:sz="4" w:space="0"/>
              <w:left w:val="single" w:color="000000" w:sz="4" w:space="0"/>
              <w:bottom w:val="single" w:color="000000" w:sz="4" w:space="0"/>
              <w:right w:val="single" w:color="000000" w:sz="4" w:space="0"/>
            </w:tcBorders>
          </w:tcPr>
          <w:p>
            <w:pPr>
              <w:pStyle w:val="11"/>
              <w:kinsoku w:val="0"/>
              <w:overflowPunct w:val="0"/>
              <w:jc w:val="center"/>
              <w:rPr>
                <w:rFonts w:ascii="仿宋_GB2312" w:hAnsi="仿宋_GB2312" w:eastAsia="仿宋_GB2312" w:cs="仿宋_GB2312"/>
                <w:b/>
              </w:rPr>
            </w:pPr>
          </w:p>
          <w:p>
            <w:pPr>
              <w:pStyle w:val="11"/>
              <w:kinsoku w:val="0"/>
              <w:overflowPunct w:val="0"/>
              <w:jc w:val="center"/>
              <w:rPr>
                <w:rFonts w:ascii="仿宋_GB2312" w:hAnsi="仿宋_GB2312" w:eastAsia="仿宋_GB2312" w:cs="仿宋_GB2312"/>
                <w:b/>
              </w:rPr>
            </w:pPr>
          </w:p>
          <w:p>
            <w:pPr>
              <w:pStyle w:val="11"/>
              <w:kinsoku w:val="0"/>
              <w:overflowPunct w:val="0"/>
              <w:spacing w:before="11"/>
              <w:jc w:val="center"/>
              <w:rPr>
                <w:rFonts w:ascii="仿宋_GB2312" w:hAnsi="仿宋_GB2312" w:eastAsia="仿宋_GB2312" w:cs="仿宋_GB2312"/>
                <w:b/>
              </w:rPr>
            </w:pPr>
          </w:p>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1</w:t>
            </w:r>
          </w:p>
        </w:tc>
        <w:tc>
          <w:tcPr>
            <w:tcW w:w="680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19" w:line="357" w:lineRule="auto"/>
              <w:ind w:left="73" w:right="70"/>
              <w:jc w:val="both"/>
              <w:rPr>
                <w:rFonts w:ascii="仿宋_GB2312" w:hAnsi="仿宋_GB2312" w:eastAsia="仿宋_GB2312" w:cs="仿宋_GB2312"/>
              </w:rPr>
            </w:pPr>
            <w:r>
              <w:rPr>
                <w:rFonts w:hint="eastAsia" w:ascii="仿宋_GB2312" w:hAnsi="仿宋_GB2312" w:eastAsia="仿宋_GB2312" w:cs="仿宋_GB2312"/>
              </w:rPr>
              <w:t>照护计划说</w:t>
            </w:r>
            <w:r>
              <w:rPr>
                <w:rFonts w:hint="eastAsia" w:ascii="仿宋_GB2312" w:hAnsi="仿宋_GB2312" w:eastAsia="仿宋_GB2312" w:cs="仿宋_GB2312"/>
                <w:spacing w:val="-36"/>
              </w:rPr>
              <w:t>明：</w:t>
            </w:r>
            <w:r>
              <w:rPr>
                <w:rFonts w:hint="eastAsia" w:ascii="仿宋_GB2312" w:hAnsi="仿宋_GB2312" w:eastAsia="仿宋_GB2312" w:cs="仿宋_GB2312"/>
              </w:rPr>
              <w:t>各参赛选手按抽取的参赛号依</w:t>
            </w:r>
            <w:r>
              <w:rPr>
                <w:rFonts w:hint="eastAsia" w:ascii="仿宋_GB2312" w:hAnsi="仿宋_GB2312" w:eastAsia="仿宋_GB2312" w:cs="仿宋_GB2312"/>
                <w:spacing w:val="1"/>
              </w:rPr>
              <w:t>次</w:t>
            </w:r>
            <w:r>
              <w:rPr>
                <w:rFonts w:hint="eastAsia" w:ascii="仿宋_GB2312" w:hAnsi="仿宋_GB2312" w:eastAsia="仿宋_GB2312" w:cs="仿宋_GB2312"/>
              </w:rPr>
              <w:t>进入相应竞赛模</w:t>
            </w:r>
            <w:r>
              <w:rPr>
                <w:rFonts w:hint="eastAsia" w:ascii="仿宋_GB2312" w:hAnsi="仿宋_GB2312" w:eastAsia="仿宋_GB2312" w:cs="仿宋_GB2312"/>
                <w:spacing w:val="-3"/>
              </w:rPr>
              <w:t>块，首先进入该模块的“照护计划竞赛区”，本模块的案例会放在桌上（此案例单可以一直携带），请认真阅读，本模块之后的</w:t>
            </w:r>
            <w:r>
              <w:rPr>
                <w:rFonts w:hint="eastAsia" w:ascii="仿宋_GB2312" w:hAnsi="仿宋_GB2312" w:eastAsia="仿宋_GB2312" w:cs="仿宋_GB2312"/>
              </w:rPr>
              <w:t>竞赛部分全部用此案例</w:t>
            </w:r>
            <w:r>
              <w:rPr>
                <w:rFonts w:hint="eastAsia" w:ascii="仿宋_GB2312" w:hAnsi="仿宋_GB2312" w:eastAsia="仿宋_GB2312" w:cs="仿宋_GB2312"/>
                <w:spacing w:val="-36"/>
              </w:rPr>
              <w:t>。</w:t>
            </w:r>
            <w:r>
              <w:rPr>
                <w:rFonts w:hint="eastAsia" w:ascii="仿宋_GB2312" w:hAnsi="仿宋_GB2312" w:eastAsia="仿宋_GB2312" w:cs="仿宋_GB2312"/>
              </w:rPr>
              <w:t>阅读后</w:t>
            </w:r>
            <w:r>
              <w:rPr>
                <w:rFonts w:hint="eastAsia" w:ascii="仿宋_GB2312" w:hAnsi="仿宋_GB2312" w:eastAsia="仿宋_GB2312" w:cs="仿宋_GB2312"/>
                <w:spacing w:val="-36"/>
              </w:rPr>
              <w:t>，</w:t>
            </w:r>
            <w:r>
              <w:rPr>
                <w:rFonts w:hint="eastAsia" w:ascii="仿宋_GB2312" w:hAnsi="仿宋_GB2312" w:eastAsia="仿宋_GB2312" w:cs="仿宋_GB2312"/>
              </w:rPr>
              <w:t>以书面形式写出照护计划包括的所有任务、有逻辑顺序的时间计划、拟完成的目标等。</w:t>
            </w:r>
          </w:p>
        </w:tc>
        <w:tc>
          <w:tcPr>
            <w:tcW w:w="1074" w:type="dxa"/>
            <w:tcBorders>
              <w:top w:val="single" w:color="000000" w:sz="4" w:space="0"/>
              <w:left w:val="single" w:color="000000" w:sz="4" w:space="0"/>
              <w:bottom w:val="single" w:color="000000" w:sz="4" w:space="0"/>
              <w:right w:val="single" w:color="000000" w:sz="4" w:space="0"/>
            </w:tcBorders>
          </w:tcPr>
          <w:p>
            <w:pPr>
              <w:pStyle w:val="11"/>
              <w:kinsoku w:val="0"/>
              <w:overflowPunct w:val="0"/>
              <w:jc w:val="both"/>
              <w:rPr>
                <w:rFonts w:ascii="仿宋_GB2312" w:hAnsi="仿宋_GB2312" w:eastAsia="仿宋_GB2312" w:cs="仿宋_GB2312"/>
                <w:b/>
              </w:rPr>
            </w:pPr>
          </w:p>
          <w:p>
            <w:pPr>
              <w:pStyle w:val="11"/>
              <w:kinsoku w:val="0"/>
              <w:overflowPunct w:val="0"/>
              <w:jc w:val="both"/>
              <w:rPr>
                <w:rFonts w:ascii="仿宋_GB2312" w:hAnsi="仿宋_GB2312" w:eastAsia="仿宋_GB2312" w:cs="仿宋_GB2312"/>
                <w:b/>
              </w:rPr>
            </w:pPr>
          </w:p>
          <w:p>
            <w:pPr>
              <w:pStyle w:val="11"/>
              <w:kinsoku w:val="0"/>
              <w:overflowPunct w:val="0"/>
              <w:spacing w:before="11"/>
              <w:jc w:val="both"/>
              <w:rPr>
                <w:rFonts w:ascii="仿宋_GB2312" w:hAnsi="仿宋_GB2312" w:eastAsia="仿宋_GB2312" w:cs="仿宋_GB2312"/>
                <w:b/>
              </w:rPr>
            </w:pPr>
          </w:p>
          <w:p>
            <w:pPr>
              <w:pStyle w:val="11"/>
              <w:kinsoku w:val="0"/>
              <w:overflowPunct w:val="0"/>
              <w:ind w:left="140"/>
              <w:jc w:val="both"/>
              <w:rPr>
                <w:rFonts w:ascii="仿宋_GB2312" w:hAnsi="仿宋_GB2312" w:eastAsia="仿宋_GB2312" w:cs="仿宋_GB2312"/>
              </w:rPr>
            </w:pPr>
            <w:r>
              <w:rPr>
                <w:rFonts w:hint="eastAsia" w:ascii="仿宋_GB2312" w:hAnsi="仿宋_GB2312" w:eastAsia="仿宋_GB2312" w:cs="仿宋_GB2312"/>
              </w:rPr>
              <w:t>20分钟</w:t>
            </w:r>
          </w:p>
        </w:tc>
      </w:tr>
      <w:tr>
        <w:tblPrEx>
          <w:tblCellMar>
            <w:top w:w="0" w:type="dxa"/>
            <w:left w:w="0" w:type="dxa"/>
            <w:bottom w:w="0" w:type="dxa"/>
            <w:right w:w="0" w:type="dxa"/>
          </w:tblCellMar>
        </w:tblPrEx>
        <w:trPr>
          <w:trHeight w:val="2511" w:hRule="exact"/>
        </w:trPr>
        <w:tc>
          <w:tcPr>
            <w:tcW w:w="998" w:type="dxa"/>
            <w:gridSpan w:val="2"/>
            <w:tcBorders>
              <w:top w:val="single" w:color="000000" w:sz="4" w:space="0"/>
              <w:left w:val="single" w:color="000000" w:sz="4" w:space="0"/>
              <w:bottom w:val="single" w:color="000000" w:sz="4" w:space="0"/>
              <w:right w:val="single" w:color="000000" w:sz="4" w:space="0"/>
            </w:tcBorders>
          </w:tcPr>
          <w:p>
            <w:pPr>
              <w:pStyle w:val="11"/>
              <w:kinsoku w:val="0"/>
              <w:overflowPunct w:val="0"/>
              <w:jc w:val="center"/>
              <w:rPr>
                <w:rFonts w:ascii="仿宋_GB2312" w:hAnsi="仿宋_GB2312" w:eastAsia="仿宋_GB2312" w:cs="仿宋_GB2312"/>
                <w:b/>
              </w:rPr>
            </w:pPr>
          </w:p>
          <w:p>
            <w:pPr>
              <w:pStyle w:val="11"/>
              <w:kinsoku w:val="0"/>
              <w:overflowPunct w:val="0"/>
              <w:jc w:val="center"/>
              <w:rPr>
                <w:rFonts w:ascii="仿宋_GB2312" w:hAnsi="仿宋_GB2312" w:eastAsia="仿宋_GB2312" w:cs="仿宋_GB2312"/>
                <w:b/>
              </w:rPr>
            </w:pPr>
          </w:p>
          <w:p>
            <w:pPr>
              <w:pStyle w:val="11"/>
              <w:kinsoku w:val="0"/>
              <w:overflowPunct w:val="0"/>
              <w:spacing w:before="12"/>
              <w:jc w:val="center"/>
              <w:rPr>
                <w:rFonts w:ascii="仿宋_GB2312" w:hAnsi="仿宋_GB2312" w:eastAsia="仿宋_GB2312" w:cs="仿宋_GB2312"/>
                <w:b/>
              </w:rPr>
            </w:pPr>
          </w:p>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2</w:t>
            </w:r>
          </w:p>
        </w:tc>
        <w:tc>
          <w:tcPr>
            <w:tcW w:w="680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20" w:line="357" w:lineRule="auto"/>
              <w:ind w:left="73" w:right="72"/>
              <w:jc w:val="both"/>
              <w:rPr>
                <w:rFonts w:ascii="仿宋_GB2312" w:hAnsi="仿宋_GB2312" w:eastAsia="仿宋_GB2312" w:cs="仿宋_GB2312"/>
              </w:rPr>
            </w:pPr>
            <w:r>
              <w:rPr>
                <w:rFonts w:hint="eastAsia" w:ascii="仿宋_GB2312" w:hAnsi="仿宋_GB2312" w:eastAsia="仿宋_GB2312" w:cs="仿宋_GB2312"/>
              </w:rPr>
              <w:t>实际照护说</w:t>
            </w:r>
            <w:r>
              <w:rPr>
                <w:rFonts w:hint="eastAsia" w:ascii="仿宋_GB2312" w:hAnsi="仿宋_GB2312" w:eastAsia="仿宋_GB2312" w:cs="仿宋_GB2312"/>
                <w:spacing w:val="-17"/>
              </w:rPr>
              <w:t>明</w:t>
            </w:r>
            <w:r>
              <w:rPr>
                <w:rFonts w:hint="eastAsia" w:ascii="仿宋_GB2312" w:hAnsi="仿宋_GB2312" w:eastAsia="仿宋_GB2312" w:cs="仿宋_GB2312"/>
                <w:spacing w:val="-20"/>
              </w:rPr>
              <w:t>：</w:t>
            </w:r>
            <w:r>
              <w:rPr>
                <w:rFonts w:hint="eastAsia" w:ascii="仿宋_GB2312" w:hAnsi="仿宋_GB2312" w:eastAsia="仿宋_GB2312" w:cs="仿宋_GB2312"/>
              </w:rPr>
              <w:t>各参赛选手完成照护计划后</w:t>
            </w:r>
            <w:r>
              <w:rPr>
                <w:rFonts w:hint="eastAsia" w:ascii="仿宋_GB2312" w:hAnsi="仿宋_GB2312" w:eastAsia="仿宋_GB2312" w:cs="仿宋_GB2312"/>
                <w:spacing w:val="-36"/>
              </w:rPr>
              <w:t>，</w:t>
            </w:r>
            <w:r>
              <w:rPr>
                <w:rFonts w:hint="eastAsia" w:ascii="仿宋_GB2312" w:hAnsi="仿宋_GB2312" w:eastAsia="仿宋_GB2312" w:cs="仿宋_GB2312"/>
              </w:rPr>
              <w:t>在引导员引导下进</w:t>
            </w:r>
            <w:r>
              <w:rPr>
                <w:rFonts w:hint="eastAsia" w:ascii="仿宋_GB2312" w:hAnsi="仿宋_GB2312" w:eastAsia="仿宋_GB2312" w:cs="仿宋_GB2312"/>
                <w:spacing w:val="-3"/>
              </w:rPr>
              <w:t>入“实际照护竞赛区”，将案例单放在门口桌上。按照案例，利</w:t>
            </w:r>
            <w:r>
              <w:rPr>
                <w:rFonts w:hint="eastAsia" w:ascii="仿宋_GB2312" w:hAnsi="仿宋_GB2312" w:eastAsia="仿宋_GB2312" w:cs="仿宋_GB2312"/>
              </w:rPr>
              <w:t>用现有的资源，自取用物，与SP配合，完成规定任务，实现对SP</w:t>
            </w:r>
            <w:r>
              <w:rPr>
                <w:rFonts w:hint="eastAsia" w:ascii="仿宋_GB2312" w:hAnsi="仿宋_GB2312" w:eastAsia="仿宋_GB2312" w:cs="仿宋_GB2312"/>
                <w:spacing w:val="1"/>
              </w:rPr>
              <w:t>的自主和独立的健康与社会照护过程。此竞赛区不可以再看</w:t>
            </w:r>
            <w:r>
              <w:rPr>
                <w:rFonts w:hint="eastAsia" w:ascii="仿宋_GB2312" w:hAnsi="仿宋_GB2312" w:eastAsia="仿宋_GB2312" w:cs="仿宋_GB2312"/>
              </w:rPr>
              <w:t>案例单。</w:t>
            </w:r>
          </w:p>
        </w:tc>
        <w:tc>
          <w:tcPr>
            <w:tcW w:w="1074" w:type="dxa"/>
            <w:tcBorders>
              <w:top w:val="single" w:color="000000" w:sz="4" w:space="0"/>
              <w:left w:val="single" w:color="000000" w:sz="4" w:space="0"/>
              <w:bottom w:val="single" w:color="000000" w:sz="4" w:space="0"/>
              <w:right w:val="single" w:color="000000" w:sz="4" w:space="0"/>
            </w:tcBorders>
          </w:tcPr>
          <w:p>
            <w:pPr>
              <w:pStyle w:val="11"/>
              <w:kinsoku w:val="0"/>
              <w:overflowPunct w:val="0"/>
              <w:jc w:val="both"/>
              <w:rPr>
                <w:rFonts w:ascii="仿宋_GB2312" w:hAnsi="仿宋_GB2312" w:eastAsia="仿宋_GB2312" w:cs="仿宋_GB2312"/>
                <w:b/>
              </w:rPr>
            </w:pPr>
          </w:p>
          <w:p>
            <w:pPr>
              <w:pStyle w:val="11"/>
              <w:kinsoku w:val="0"/>
              <w:overflowPunct w:val="0"/>
              <w:jc w:val="both"/>
              <w:rPr>
                <w:rFonts w:ascii="仿宋_GB2312" w:hAnsi="仿宋_GB2312" w:eastAsia="仿宋_GB2312" w:cs="仿宋_GB2312"/>
                <w:b/>
              </w:rPr>
            </w:pPr>
          </w:p>
          <w:p>
            <w:pPr>
              <w:pStyle w:val="11"/>
              <w:kinsoku w:val="0"/>
              <w:overflowPunct w:val="0"/>
              <w:spacing w:before="12"/>
              <w:jc w:val="both"/>
              <w:rPr>
                <w:rFonts w:ascii="仿宋_GB2312" w:hAnsi="仿宋_GB2312" w:eastAsia="仿宋_GB2312" w:cs="仿宋_GB2312"/>
                <w:b/>
              </w:rPr>
            </w:pPr>
          </w:p>
          <w:p>
            <w:pPr>
              <w:pStyle w:val="11"/>
              <w:kinsoku w:val="0"/>
              <w:overflowPunct w:val="0"/>
              <w:ind w:left="140"/>
              <w:jc w:val="both"/>
              <w:rPr>
                <w:rFonts w:ascii="仿宋_GB2312" w:hAnsi="仿宋_GB2312" w:eastAsia="仿宋_GB2312" w:cs="仿宋_GB2312"/>
              </w:rPr>
            </w:pPr>
            <w:r>
              <w:rPr>
                <w:rFonts w:hint="eastAsia" w:ascii="仿宋_GB2312" w:hAnsi="仿宋_GB2312" w:eastAsia="仿宋_GB2312" w:cs="仿宋_GB2312"/>
              </w:rPr>
              <w:t>25分钟</w:t>
            </w:r>
          </w:p>
        </w:tc>
      </w:tr>
      <w:tr>
        <w:tblPrEx>
          <w:tblCellMar>
            <w:top w:w="0" w:type="dxa"/>
            <w:left w:w="0" w:type="dxa"/>
            <w:bottom w:w="0" w:type="dxa"/>
            <w:right w:w="0" w:type="dxa"/>
          </w:tblCellMar>
        </w:tblPrEx>
        <w:trPr>
          <w:trHeight w:val="2540" w:hRule="exact"/>
        </w:trPr>
        <w:tc>
          <w:tcPr>
            <w:tcW w:w="985" w:type="dxa"/>
            <w:tcBorders>
              <w:top w:val="single" w:color="000000" w:sz="4" w:space="0"/>
              <w:left w:val="single" w:color="000000" w:sz="4" w:space="0"/>
              <w:bottom w:val="single" w:color="000000" w:sz="4" w:space="0"/>
              <w:right w:val="single" w:color="000000" w:sz="4" w:space="0"/>
            </w:tcBorders>
          </w:tcPr>
          <w:p>
            <w:pPr>
              <w:pStyle w:val="11"/>
              <w:kinsoku w:val="0"/>
              <w:overflowPunct w:val="0"/>
              <w:jc w:val="center"/>
              <w:rPr>
                <w:rFonts w:ascii="仿宋_GB2312" w:hAnsi="仿宋_GB2312" w:eastAsia="仿宋_GB2312" w:cs="仿宋_GB2312"/>
                <w:b/>
              </w:rPr>
            </w:pPr>
          </w:p>
          <w:p>
            <w:pPr>
              <w:pStyle w:val="11"/>
              <w:kinsoku w:val="0"/>
              <w:overflowPunct w:val="0"/>
              <w:jc w:val="center"/>
              <w:rPr>
                <w:rFonts w:ascii="仿宋_GB2312" w:hAnsi="仿宋_GB2312" w:eastAsia="仿宋_GB2312" w:cs="仿宋_GB2312"/>
                <w:b/>
              </w:rPr>
            </w:pPr>
          </w:p>
          <w:p>
            <w:pPr>
              <w:pStyle w:val="11"/>
              <w:kinsoku w:val="0"/>
              <w:overflowPunct w:val="0"/>
              <w:spacing w:before="15"/>
              <w:jc w:val="center"/>
              <w:rPr>
                <w:rFonts w:ascii="仿宋_GB2312" w:hAnsi="仿宋_GB2312" w:eastAsia="仿宋_GB2312" w:cs="仿宋_GB2312"/>
                <w:b/>
              </w:rPr>
            </w:pPr>
          </w:p>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3</w:t>
            </w:r>
          </w:p>
        </w:tc>
        <w:tc>
          <w:tcPr>
            <w:tcW w:w="6821" w:type="dxa"/>
            <w:gridSpan w:val="2"/>
            <w:tcBorders>
              <w:top w:val="single" w:color="000000" w:sz="4" w:space="0"/>
              <w:left w:val="single" w:color="000000" w:sz="4" w:space="0"/>
              <w:bottom w:val="single" w:color="000000" w:sz="4" w:space="0"/>
              <w:right w:val="single" w:color="000000" w:sz="4" w:space="0"/>
            </w:tcBorders>
          </w:tcPr>
          <w:p>
            <w:pPr>
              <w:pStyle w:val="11"/>
              <w:kinsoku w:val="0"/>
              <w:overflowPunct w:val="0"/>
              <w:spacing w:before="158" w:line="357" w:lineRule="auto"/>
              <w:ind w:left="73" w:right="70"/>
              <w:jc w:val="center"/>
              <w:rPr>
                <w:rFonts w:ascii="仿宋_GB2312" w:hAnsi="仿宋_GB2312" w:eastAsia="仿宋_GB2312" w:cs="仿宋_GB2312"/>
              </w:rPr>
            </w:pPr>
            <w:r>
              <w:rPr>
                <w:rFonts w:hint="eastAsia" w:ascii="仿宋_GB2312" w:hAnsi="仿宋_GB2312" w:eastAsia="仿宋_GB2312" w:cs="仿宋_GB2312"/>
              </w:rPr>
              <w:t>健康教育海报或反思报告说明</w:t>
            </w:r>
            <w:r>
              <w:rPr>
                <w:rFonts w:hint="eastAsia" w:ascii="仿宋_GB2312" w:hAnsi="仿宋_GB2312" w:eastAsia="仿宋_GB2312" w:cs="仿宋_GB2312"/>
                <w:spacing w:val="-72"/>
              </w:rPr>
              <w:t>：</w:t>
            </w:r>
            <w:r>
              <w:rPr>
                <w:rFonts w:hint="eastAsia" w:ascii="仿宋_GB2312" w:hAnsi="仿宋_GB2312" w:eastAsia="仿宋_GB2312" w:cs="仿宋_GB2312"/>
              </w:rPr>
              <w:t>参赛选手完成实际照护竞赛区的任务后</w:t>
            </w:r>
            <w:r>
              <w:rPr>
                <w:rFonts w:hint="eastAsia" w:ascii="仿宋_GB2312" w:hAnsi="仿宋_GB2312" w:eastAsia="仿宋_GB2312" w:cs="仿宋_GB2312"/>
                <w:spacing w:val="-24"/>
              </w:rPr>
              <w:t>，</w:t>
            </w:r>
            <w:r>
              <w:rPr>
                <w:rFonts w:hint="eastAsia" w:ascii="仿宋_GB2312" w:hAnsi="仿宋_GB2312" w:eastAsia="仿宋_GB2312" w:cs="仿宋_GB2312"/>
              </w:rPr>
              <w:t>携带案例单</w:t>
            </w:r>
            <w:r>
              <w:rPr>
                <w:rFonts w:hint="eastAsia" w:ascii="仿宋_GB2312" w:hAnsi="仿宋_GB2312" w:eastAsia="仿宋_GB2312" w:cs="仿宋_GB2312"/>
                <w:spacing w:val="-24"/>
              </w:rPr>
              <w:t>，</w:t>
            </w:r>
            <w:r>
              <w:rPr>
                <w:rFonts w:hint="eastAsia" w:ascii="仿宋_GB2312" w:hAnsi="仿宋_GB2312" w:eastAsia="仿宋_GB2312" w:cs="仿宋_GB2312"/>
              </w:rPr>
              <w:t>在引导下进</w:t>
            </w:r>
            <w:r>
              <w:rPr>
                <w:rFonts w:hint="eastAsia" w:ascii="仿宋_GB2312" w:hAnsi="仿宋_GB2312" w:eastAsia="仿宋_GB2312" w:cs="仿宋_GB2312"/>
                <w:spacing w:val="-24"/>
              </w:rPr>
              <w:t>入</w:t>
            </w:r>
            <w:r>
              <w:rPr>
                <w:rFonts w:hint="eastAsia" w:ascii="仿宋_GB2312" w:hAnsi="仿宋_GB2312" w:eastAsia="仿宋_GB2312" w:cs="仿宋_GB2312"/>
              </w:rPr>
              <w:t>“健康教育海报或反思报告</w:t>
            </w:r>
            <w:r>
              <w:rPr>
                <w:rFonts w:hint="eastAsia" w:ascii="仿宋_GB2312" w:hAnsi="仿宋_GB2312" w:eastAsia="仿宋_GB2312" w:cs="仿宋_GB2312"/>
                <w:spacing w:val="-3"/>
              </w:rPr>
              <w:t>竞赛区”，按照任务要求，完成海报或是反思报告。此竞赛区可</w:t>
            </w:r>
            <w:r>
              <w:rPr>
                <w:rFonts w:hint="eastAsia" w:ascii="仿宋_GB2312" w:hAnsi="仿宋_GB2312" w:eastAsia="仿宋_GB2312" w:cs="仿宋_GB2312"/>
              </w:rPr>
              <w:t>以看案例单。完成所有任务后，将案例单放在桌上，离开竞赛区。</w:t>
            </w:r>
          </w:p>
        </w:tc>
        <w:tc>
          <w:tcPr>
            <w:tcW w:w="1074" w:type="dxa"/>
            <w:tcBorders>
              <w:top w:val="single" w:color="000000" w:sz="4" w:space="0"/>
              <w:left w:val="single" w:color="000000" w:sz="4" w:space="0"/>
              <w:bottom w:val="single" w:color="000000" w:sz="4" w:space="0"/>
              <w:right w:val="single" w:color="000000" w:sz="4" w:space="0"/>
            </w:tcBorders>
          </w:tcPr>
          <w:p>
            <w:pPr>
              <w:pStyle w:val="11"/>
              <w:kinsoku w:val="0"/>
              <w:overflowPunct w:val="0"/>
              <w:jc w:val="both"/>
              <w:rPr>
                <w:rFonts w:ascii="仿宋_GB2312" w:hAnsi="仿宋_GB2312" w:eastAsia="仿宋_GB2312" w:cs="仿宋_GB2312"/>
                <w:b/>
              </w:rPr>
            </w:pPr>
          </w:p>
          <w:p>
            <w:pPr>
              <w:pStyle w:val="11"/>
              <w:kinsoku w:val="0"/>
              <w:overflowPunct w:val="0"/>
              <w:jc w:val="both"/>
              <w:rPr>
                <w:rFonts w:ascii="仿宋_GB2312" w:hAnsi="仿宋_GB2312" w:eastAsia="仿宋_GB2312" w:cs="仿宋_GB2312"/>
                <w:b/>
              </w:rPr>
            </w:pPr>
          </w:p>
          <w:p>
            <w:pPr>
              <w:pStyle w:val="11"/>
              <w:kinsoku w:val="0"/>
              <w:overflowPunct w:val="0"/>
              <w:spacing w:before="15"/>
              <w:jc w:val="both"/>
              <w:rPr>
                <w:rFonts w:ascii="仿宋_GB2312" w:hAnsi="仿宋_GB2312" w:eastAsia="仿宋_GB2312" w:cs="仿宋_GB2312"/>
                <w:b/>
              </w:rPr>
            </w:pPr>
          </w:p>
          <w:p>
            <w:pPr>
              <w:pStyle w:val="11"/>
              <w:kinsoku w:val="0"/>
              <w:overflowPunct w:val="0"/>
              <w:ind w:left="140"/>
              <w:jc w:val="both"/>
              <w:rPr>
                <w:rFonts w:ascii="仿宋_GB2312" w:hAnsi="仿宋_GB2312" w:eastAsia="仿宋_GB2312" w:cs="仿宋_GB2312"/>
              </w:rPr>
            </w:pPr>
            <w:r>
              <w:rPr>
                <w:rFonts w:hint="eastAsia" w:ascii="仿宋_GB2312" w:hAnsi="仿宋_GB2312" w:eastAsia="仿宋_GB2312" w:cs="仿宋_GB2312"/>
              </w:rPr>
              <w:t>25分钟</w:t>
            </w:r>
          </w:p>
        </w:tc>
      </w:tr>
    </w:tbl>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（一）医院模块样卷</w:t>
      </w:r>
    </w:p>
    <w:p>
      <w:pPr>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模块描述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王伊丽，25岁，未婚，保险公司员工。3岁时因上呼吸道感染后患有哮喘，经治疗后缓解，此后偶有发生。今年入冬后，工作劳累，患上呼吸道感染且逐渐加重，昨天因上呼吸道感染加哮喘急性发作至呼吸窘迫入院治疗，严重时端坐床沿，全身大汗淋漓，经治疗缓解。医生要求她每天使用峰值呼气流量计监测呼吸功能，并在照护记录单上记录这些值。她觉得麻烦。</w:t>
      </w:r>
    </w:p>
    <w:p>
      <w:pPr>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参赛者任务</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请书写案例照护计划</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请提供护理和病患教育</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请鼓励并指导她测定峰流速和做好记录</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请完成哮喘病健康教育海报</w:t>
      </w:r>
    </w:p>
    <w:p>
      <w:pPr>
        <w:ind w:firstLine="600" w:firstLineChars="200"/>
        <w:rPr>
          <w:rFonts w:ascii="仿宋_GB2312" w:hAnsi="仿宋_GB2312" w:eastAsia="仿宋_GB2312" w:cs="仿宋_GB2312"/>
          <w:b/>
          <w:sz w:val="30"/>
          <w:szCs w:val="30"/>
        </w:rPr>
      </w:pPr>
      <w:r>
        <w:rPr>
          <w:rFonts w:hint="eastAsia" w:ascii="楷体_GB2312" w:hAnsi="楷体_GB2312" w:eastAsia="楷体_GB2312" w:cs="楷体_GB2312"/>
          <w:bCs/>
          <w:sz w:val="30"/>
          <w:szCs w:val="30"/>
        </w:rPr>
        <w:t>（二）长期照护中心模块样卷</w:t>
      </w:r>
    </w:p>
    <w:p>
      <w:pPr>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模块描述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王胜利，男，71岁，2年前因感到眩晕、嘴歪眼斜、左侧面部、肢体麻木，就诊医院诊断为“脑血栓”，同时发现有高血压病，一直服药治疗。半年前入住养老机构。现能正常沟通，自己喝水吃饭，左侧肢体活动不够灵活，右侧肢体能活动。今日凌晨6点老人感觉口渴，因不想麻烦别人，自己起床倒开水，不慎烫伤右脚背皮肤，烫伤面积约4cm×5cm，表面发红，无水泡，无溃破。你巡视发现王爷爷出现状况，询问事情经过时老人说有些头疼。老人有一儿子，工作忙，不能经常来看他。老人近日情绪略有低落。</w:t>
      </w:r>
    </w:p>
    <w:p>
      <w:pPr>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参赛者任务</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请书写案例照护计划</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请用轮椅推老人到医务室处理烫伤部位</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请给老人监测血压</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请完成脑血栓疾病健康教育海报</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（三）日间照料中心模块样卷</w:t>
      </w:r>
    </w:p>
    <w:p>
      <w:pPr>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模块描述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张凡一，女，79岁。高血压病30年，经常性失眠10余年。5个月前在家中卫生间跌倒一次，造成左下肢胫骨骨折，住院治疗后，现已在家中休养。张奶奶因害怕再次跌倒，只坐轮椅外出，不愿意尝试自主行走。1年前老伴去世，她心情一直不太好，失眠越来越严重，进食不好。因家中保姆临时有事，女儿用轮椅把母亲送到日间照料中心，希望得到帮助。</w:t>
      </w:r>
    </w:p>
    <w:p>
      <w:pPr>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参赛者任务</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请书写案例照护计划</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请识别她进食困难原因，协助中午进食</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请鼓励她使用拐杖并指导</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请撰写一份反思报告</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（四）家庭模块样卷</w:t>
      </w:r>
    </w:p>
    <w:p>
      <w:pPr>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模块描述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徐一峰，男，69岁。1年前无明显诱因突然出现口干、多饮、多尿，体重下降4kg，查随机血糖27.0mmol/L，尿酮体(++++)，入院治疗。入院查体：身高173cm，体重60.5kg，BMI20.21kg/m2。血压：110/70mmHg，心率：72次/分。患者既往平均体重约62kg。治疗发现对胰岛素治疗敏感，诊断为1型糖尿病。5年前行胃大部切除术，姐姐患2型糖尿病。出院后血糖监测一直是女儿负责。今早女儿出门，打电话告诉父亲晚饭前回不去，给父亲约好照护人员到家里帮助他。照护中心通知你在徐伯伯晚餐前到他家。</w:t>
      </w:r>
    </w:p>
    <w:p>
      <w:pPr>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参赛者任务</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请书写案例照护计划</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指导和进行自我血糖监测</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请教授并支持他进行胰岛素管理</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请撰写一份反思报告。</w:t>
      </w:r>
    </w:p>
    <w:p>
      <w:pPr>
        <w:ind w:firstLine="600" w:firstLineChars="200"/>
        <w:rPr>
          <w:rFonts w:ascii="黑体" w:hAnsi="黑体" w:eastAsia="黑体" w:cs="黑体"/>
          <w:bCs/>
          <w:sz w:val="30"/>
          <w:szCs w:val="30"/>
        </w:rPr>
      </w:pPr>
      <w:r>
        <w:rPr>
          <w:rFonts w:hint="eastAsia" w:ascii="黑体" w:hAnsi="黑体" w:eastAsia="黑体" w:cs="黑体"/>
          <w:bCs/>
          <w:sz w:val="30"/>
          <w:szCs w:val="30"/>
        </w:rPr>
        <w:t>七、竞赛规则</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bCs/>
          <w:sz w:val="30"/>
          <w:szCs w:val="30"/>
        </w:rPr>
        <w:t>（一）参赛资格：</w:t>
      </w:r>
      <w:r>
        <w:rPr>
          <w:rFonts w:hint="eastAsia" w:ascii="仿宋_GB2312" w:hAnsi="仿宋_GB2312" w:eastAsia="仿宋_GB2312" w:cs="仿宋_GB2312"/>
          <w:sz w:val="30"/>
          <w:szCs w:val="30"/>
        </w:rPr>
        <w:t>高等职业院校全日制在籍学生。年龄不超过25周岁。年龄计算的截止时间以2020年11月1日为准。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bCs/>
          <w:sz w:val="30"/>
          <w:szCs w:val="30"/>
        </w:rPr>
        <w:t>（二）参赛选手统一着装进入赛场。</w:t>
      </w:r>
      <w:r>
        <w:rPr>
          <w:rFonts w:hint="eastAsia" w:ascii="仿宋_GB2312" w:hAnsi="仿宋_GB2312" w:eastAsia="仿宋_GB2312" w:cs="仿宋_GB2312"/>
          <w:sz w:val="30"/>
          <w:szCs w:val="30"/>
        </w:rPr>
        <w:t>参赛选手必须着大赛统一提供的制服，自备鞋袜，不得在参赛服饰上作任何标识。进入赛场须携带身份证、准考证，不得携带其它任何物品，违规者取消本次比赛成绩。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bCs/>
          <w:sz w:val="30"/>
          <w:szCs w:val="30"/>
        </w:rPr>
        <w:t>（三）按照赛项执委会竞赛流程检录抽签。</w:t>
      </w:r>
      <w:r>
        <w:rPr>
          <w:rFonts w:hint="eastAsia" w:ascii="仿宋_GB2312" w:hAnsi="仿宋_GB2312" w:eastAsia="仿宋_GB2312" w:cs="仿宋_GB2312"/>
          <w:sz w:val="30"/>
          <w:szCs w:val="30"/>
        </w:rPr>
        <w:t>各参赛队比赛前30分钟到赛项指定地点进行第一次检录。全体参赛选手检录完成后，抽签确定参赛区，分别进入比赛场地参赛。各考场参赛选手比赛前30分钟到赛项指定地点接受第二次检录。检录完成后，进场前20分钟，参赛选手抽签决定进入竞赛模块的竞赛区。各参赛选手在工作人员的带领下进入候赛室，接到比赛通知后，到相应的竞赛区完成竞赛规定的赛项任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（四）竞赛过程中，参赛选手须严格遵守操作流程和规则，并自觉接受裁判的监督和警示。若因突发故障原因导致竞赛中断，应提请裁判确认其原因,并视具体情况做出裁决。</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参赛选手竞赛开始、终止时间由竞赛区工作人员记录在案；比赛时间到，由裁判组长示意参赛选手终止操作，选手即刻离开竞赛区域。参赛选手提前结束竞赛后不得再进行任何操作。参赛选手在竞赛过程中不得擅自离开竞赛区，如有特殊情况，需经裁判组长和裁判长同意后做另行处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（六）为保证竞赛按时完成，按照时间顺序有序开展。在竞赛过程中，竞赛的进程由裁判长总体控制，裁判组长控制本模块赛程。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（七）赛场各类工作人员必须统一佩戴由赛项执委会印制的相应证件，统一着装，进入工作岗位。</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（八）赛场除赛项执委会成员、专家组成员、裁判、赛场配备的工作人员外，其他人员未经赛项执委会允许不得进入赛场。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（九）新闻媒体人员等进入赛场必须经过赛项执委会允许持证入场，并且听从现场工作人员的安排和指挥，不得影响竞赛正常进行。</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（十）各参赛队的领队、指导教师以及随行人员在直播室进行观摩，不得携带任何通讯、摄录设备，一旦进入观摩区，需待最后一名参赛选手比赛完成后方可离开。</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（十一）全部竞赛结束后，根据情况择时公布名次。</w:t>
      </w:r>
    </w:p>
    <w:p>
      <w:pPr>
        <w:ind w:firstLine="600" w:firstLineChars="200"/>
        <w:rPr>
          <w:rFonts w:ascii="黑体" w:hAnsi="黑体" w:eastAsia="黑体" w:cs="黑体"/>
          <w:bCs/>
          <w:sz w:val="30"/>
          <w:szCs w:val="30"/>
        </w:rPr>
      </w:pPr>
      <w:r>
        <w:rPr>
          <w:rFonts w:hint="eastAsia" w:ascii="黑体" w:hAnsi="黑体" w:eastAsia="黑体" w:cs="黑体"/>
          <w:bCs/>
          <w:sz w:val="30"/>
          <w:szCs w:val="30"/>
        </w:rPr>
        <w:t>八、竞赛环境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场地要求通风、宽敞明亮、适合单体封闭观摩体验，配备双线路供电系统和漏电保护装置，配备实况监控视频转播系统。在规定赛场内，模拟医院、长期照护中心、日间照护中心及家庭情境完成任务。包括检录抽签区、竞赛区、工作区等，参赛选手通道与工作人员通道、考核后参赛选手与未考核参赛选手进出赛场的路径分别隔离，不相互交叉。</w:t>
      </w:r>
    </w:p>
    <w:p>
      <w:pPr>
        <w:ind w:firstLine="600" w:firstLineChars="200"/>
        <w:rPr>
          <w:rFonts w:ascii="黑体" w:hAnsi="黑体" w:eastAsia="黑体" w:cs="黑体"/>
          <w:bCs/>
          <w:sz w:val="30"/>
          <w:szCs w:val="30"/>
        </w:rPr>
      </w:pPr>
      <w:r>
        <w:rPr>
          <w:rFonts w:hint="eastAsia" w:ascii="黑体" w:hAnsi="黑体" w:eastAsia="黑体" w:cs="黑体"/>
          <w:bCs/>
          <w:sz w:val="30"/>
          <w:szCs w:val="30"/>
        </w:rPr>
        <w:t>九、技术规范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本赛项遵循的技术规范如下：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1.《基础护理学》、《内科护理学》、《外科护理学》、《老年护理学》人民卫生出版社出版；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2.《国家职业技能标准—养老护理员（2019年版）》；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3.《国家职业资格培训教程—养老护理员系列》中国劳动社会保障出版社；</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4.《养老护理员国家职业资格鉴定指导》。</w:t>
      </w:r>
    </w:p>
    <w:p>
      <w:pPr>
        <w:ind w:firstLine="600" w:firstLineChars="200"/>
        <w:rPr>
          <w:rFonts w:ascii="黑体" w:hAnsi="黑体" w:eastAsia="黑体" w:cs="黑体"/>
          <w:bCs/>
          <w:sz w:val="30"/>
          <w:szCs w:val="30"/>
        </w:rPr>
      </w:pPr>
      <w:r>
        <w:rPr>
          <w:rFonts w:hint="eastAsia" w:ascii="黑体" w:hAnsi="黑体" w:eastAsia="黑体" w:cs="黑体"/>
          <w:bCs/>
          <w:sz w:val="30"/>
          <w:szCs w:val="30"/>
        </w:rPr>
        <w:t>十、竞赛项目使用的器材和物品</w:t>
      </w:r>
    </w:p>
    <w:tbl>
      <w:tblPr>
        <w:tblStyle w:val="6"/>
        <w:tblW w:w="9620" w:type="dxa"/>
        <w:jc w:val="center"/>
        <w:tblLayout w:type="fixed"/>
        <w:tblCellMar>
          <w:top w:w="0" w:type="dxa"/>
          <w:left w:w="0" w:type="dxa"/>
          <w:bottom w:w="0" w:type="dxa"/>
          <w:right w:w="0" w:type="dxa"/>
        </w:tblCellMar>
      </w:tblPr>
      <w:tblGrid>
        <w:gridCol w:w="888"/>
        <w:gridCol w:w="2084"/>
        <w:gridCol w:w="3392"/>
        <w:gridCol w:w="638"/>
        <w:gridCol w:w="795"/>
        <w:gridCol w:w="1823"/>
      </w:tblGrid>
      <w:tr>
        <w:tblPrEx>
          <w:tblCellMar>
            <w:top w:w="0" w:type="dxa"/>
            <w:left w:w="0" w:type="dxa"/>
            <w:bottom w:w="0" w:type="dxa"/>
            <w:right w:w="0" w:type="dxa"/>
          </w:tblCellMar>
        </w:tblPrEx>
        <w:trPr>
          <w:trHeight w:val="567" w:hRule="exact"/>
          <w:jc w:val="center"/>
        </w:trPr>
        <w:tc>
          <w:tcPr>
            <w:tcW w:w="88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firstLine="240" w:firstLineChars="100"/>
              <w:rPr>
                <w:rFonts w:ascii="黑体" w:hAnsi="黑体" w:eastAsia="黑体" w:cs="黑体"/>
                <w:bCs/>
              </w:rPr>
            </w:pPr>
            <w:r>
              <w:rPr>
                <w:rFonts w:hint="eastAsia" w:ascii="黑体" w:hAnsi="黑体" w:eastAsia="黑体" w:cs="黑体"/>
                <w:bCs/>
              </w:rPr>
              <w:t>序号</w:t>
            </w:r>
          </w:p>
        </w:tc>
        <w:tc>
          <w:tcPr>
            <w:tcW w:w="208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ind w:right="1"/>
              <w:jc w:val="center"/>
              <w:rPr>
                <w:rFonts w:ascii="黑体" w:hAnsi="黑体" w:eastAsia="黑体" w:cs="黑体"/>
                <w:bCs/>
              </w:rPr>
            </w:pPr>
            <w:r>
              <w:rPr>
                <w:rFonts w:hint="eastAsia" w:ascii="黑体" w:hAnsi="黑体" w:eastAsia="黑体" w:cs="黑体"/>
                <w:bCs/>
                <w:spacing w:val="2"/>
              </w:rPr>
              <w:t>名称</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ind w:left="2"/>
              <w:jc w:val="center"/>
              <w:rPr>
                <w:rFonts w:ascii="黑体" w:hAnsi="黑体" w:eastAsia="黑体" w:cs="黑体"/>
                <w:bCs/>
              </w:rPr>
            </w:pPr>
            <w:r>
              <w:rPr>
                <w:rFonts w:hint="eastAsia" w:ascii="黑体" w:hAnsi="黑体" w:eastAsia="黑体" w:cs="黑体"/>
                <w:bCs/>
                <w:spacing w:val="2"/>
              </w:rPr>
              <w:t>规格</w:t>
            </w:r>
          </w:p>
        </w:tc>
        <w:tc>
          <w:tcPr>
            <w:tcW w:w="63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rPr>
                <w:rFonts w:ascii="黑体" w:hAnsi="黑体" w:eastAsia="黑体" w:cs="黑体"/>
                <w:bCs/>
              </w:rPr>
            </w:pPr>
            <w:r>
              <w:rPr>
                <w:rFonts w:hint="eastAsia" w:ascii="黑体" w:hAnsi="黑体" w:eastAsia="黑体" w:cs="黑体"/>
                <w:bCs/>
              </w:rPr>
              <w:t>单位</w:t>
            </w:r>
          </w:p>
        </w:tc>
        <w:tc>
          <w:tcPr>
            <w:tcW w:w="795"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jc w:val="center"/>
              <w:rPr>
                <w:rFonts w:ascii="黑体" w:hAnsi="黑体" w:eastAsia="黑体" w:cs="黑体"/>
                <w:bCs/>
              </w:rPr>
            </w:pPr>
            <w:r>
              <w:rPr>
                <w:rFonts w:hint="eastAsia" w:ascii="黑体" w:hAnsi="黑体" w:eastAsia="黑体" w:cs="黑体"/>
                <w:bCs/>
              </w:rPr>
              <w:t>数量</w:t>
            </w:r>
          </w:p>
        </w:tc>
        <w:tc>
          <w:tcPr>
            <w:tcW w:w="182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黑体" w:hAnsi="黑体" w:eastAsia="黑体" w:cs="黑体"/>
                <w:bCs/>
              </w:rPr>
            </w:pPr>
            <w:r>
              <w:rPr>
                <w:rFonts w:hint="eastAsia" w:ascii="黑体" w:hAnsi="黑体" w:eastAsia="黑体" w:cs="黑体"/>
                <w:bCs/>
                <w:spacing w:val="2"/>
              </w:rPr>
              <w:t>备注</w:t>
            </w:r>
          </w:p>
        </w:tc>
      </w:tr>
      <w:tr>
        <w:tblPrEx>
          <w:tblCellMar>
            <w:top w:w="0" w:type="dxa"/>
            <w:left w:w="0" w:type="dxa"/>
            <w:bottom w:w="0" w:type="dxa"/>
            <w:right w:w="0" w:type="dxa"/>
          </w:tblCellMar>
        </w:tblPrEx>
        <w:trPr>
          <w:trHeight w:val="1085" w:hRule="exact"/>
          <w:jc w:val="center"/>
        </w:trPr>
        <w:tc>
          <w:tcPr>
            <w:tcW w:w="88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2"/>
              <w:jc w:val="center"/>
              <w:rPr>
                <w:rFonts w:ascii="仿宋_GB2312" w:hAnsi="仿宋_GB2312" w:eastAsia="仿宋_GB2312" w:cs="仿宋_GB2312"/>
                <w:b/>
                <w:sz w:val="19"/>
              </w:rPr>
            </w:pPr>
          </w:p>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1</w:t>
            </w:r>
          </w:p>
        </w:tc>
        <w:tc>
          <w:tcPr>
            <w:tcW w:w="208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63" w:line="275" w:lineRule="auto"/>
              <w:ind w:right="103"/>
              <w:jc w:val="center"/>
              <w:rPr>
                <w:rFonts w:ascii="仿宋_GB2312" w:hAnsi="仿宋_GB2312" w:eastAsia="仿宋_GB2312" w:cs="仿宋_GB2312"/>
              </w:rPr>
            </w:pPr>
            <w:r>
              <w:rPr>
                <w:rFonts w:hint="eastAsia" w:ascii="仿宋_GB2312" w:hAnsi="仿宋_GB2312" w:eastAsia="仿宋_GB2312" w:cs="仿宋_GB2312"/>
              </w:rPr>
              <w:t>多功能护理</w:t>
            </w:r>
            <w:r>
              <w:rPr>
                <w:rFonts w:hint="eastAsia" w:ascii="仿宋_GB2312" w:hAnsi="仿宋_GB2312" w:eastAsia="仿宋_GB2312" w:cs="仿宋_GB2312"/>
                <w:spacing w:val="-96"/>
              </w:rPr>
              <w:t>床</w:t>
            </w:r>
          </w:p>
          <w:p>
            <w:pPr>
              <w:pStyle w:val="11"/>
              <w:kinsoku w:val="0"/>
              <w:overflowPunct w:val="0"/>
              <w:spacing w:before="163" w:line="275" w:lineRule="auto"/>
              <w:ind w:right="103"/>
              <w:jc w:val="center"/>
              <w:rPr>
                <w:rFonts w:ascii="仿宋_GB2312" w:hAnsi="仿宋_GB2312" w:eastAsia="仿宋_GB2312" w:cs="仿宋_GB2312"/>
              </w:rPr>
            </w:pPr>
            <w:r>
              <w:rPr>
                <w:rFonts w:hint="eastAsia" w:ascii="仿宋_GB2312" w:hAnsi="仿宋_GB2312" w:eastAsia="仿宋_GB2312" w:cs="仿宋_GB2312"/>
              </w:rPr>
              <w:t>（可以插床头卡）</w:t>
            </w:r>
          </w:p>
        </w:tc>
        <w:tc>
          <w:tcPr>
            <w:tcW w:w="339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4" w:lineRule="auto"/>
              <w:ind w:left="128" w:right="130"/>
              <w:jc w:val="center"/>
              <w:rPr>
                <w:rFonts w:ascii="仿宋_GB2312" w:hAnsi="仿宋_GB2312" w:eastAsia="仿宋_GB2312" w:cs="仿宋_GB2312"/>
              </w:rPr>
            </w:pPr>
            <w:r>
              <w:rPr>
                <w:rFonts w:hint="eastAsia" w:ascii="仿宋_GB2312" w:hAnsi="仿宋_GB2312" w:eastAsia="仿宋_GB2312" w:cs="仿宋_GB2312"/>
              </w:rPr>
              <w:t>铝合金折叠护栏、钢制喷涂车架、手摇三折床，可实现背部起身，腿部升起等</w:t>
            </w:r>
          </w:p>
        </w:tc>
        <w:tc>
          <w:tcPr>
            <w:tcW w:w="63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2"/>
              <w:jc w:val="both"/>
              <w:rPr>
                <w:rFonts w:ascii="仿宋_GB2312" w:hAnsi="仿宋_GB2312" w:eastAsia="仿宋_GB2312" w:cs="仿宋_GB2312"/>
                <w:b/>
                <w:sz w:val="19"/>
              </w:rPr>
            </w:pPr>
          </w:p>
          <w:p>
            <w:pPr>
              <w:pStyle w:val="11"/>
              <w:kinsoku w:val="0"/>
              <w:overflowPunct w:val="0"/>
              <w:ind w:left="214"/>
              <w:jc w:val="both"/>
              <w:rPr>
                <w:rFonts w:ascii="仿宋_GB2312" w:hAnsi="仿宋_GB2312" w:eastAsia="仿宋_GB2312" w:cs="仿宋_GB2312"/>
              </w:rPr>
            </w:pPr>
            <w:r>
              <w:rPr>
                <w:rFonts w:hint="eastAsia" w:ascii="仿宋_GB2312" w:hAnsi="仿宋_GB2312" w:eastAsia="仿宋_GB2312" w:cs="仿宋_GB2312"/>
              </w:rPr>
              <w:t>张</w:t>
            </w:r>
          </w:p>
        </w:tc>
        <w:tc>
          <w:tcPr>
            <w:tcW w:w="795"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2"/>
              <w:jc w:val="center"/>
              <w:rPr>
                <w:rFonts w:ascii="仿宋_GB2312" w:hAnsi="仿宋_GB2312" w:eastAsia="仿宋_GB2312" w:cs="仿宋_GB2312"/>
                <w:b/>
                <w:sz w:val="19"/>
              </w:rPr>
            </w:pPr>
          </w:p>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4</w:t>
            </w:r>
          </w:p>
        </w:tc>
        <w:tc>
          <w:tcPr>
            <w:tcW w:w="1823"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r>
        <w:tblPrEx>
          <w:tblCellMar>
            <w:top w:w="0" w:type="dxa"/>
            <w:left w:w="0" w:type="dxa"/>
            <w:bottom w:w="0" w:type="dxa"/>
            <w:right w:w="0" w:type="dxa"/>
          </w:tblCellMar>
        </w:tblPrEx>
        <w:trPr>
          <w:trHeight w:val="727" w:hRule="exact"/>
          <w:jc w:val="center"/>
        </w:trPr>
        <w:tc>
          <w:tcPr>
            <w:tcW w:w="88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65"/>
              <w:jc w:val="center"/>
              <w:rPr>
                <w:rFonts w:ascii="仿宋_GB2312" w:hAnsi="仿宋_GB2312" w:eastAsia="仿宋_GB2312" w:cs="仿宋_GB2312"/>
              </w:rPr>
            </w:pPr>
            <w:r>
              <w:rPr>
                <w:rFonts w:hint="eastAsia" w:ascii="仿宋_GB2312" w:hAnsi="仿宋_GB2312" w:eastAsia="仿宋_GB2312" w:cs="仿宋_GB2312"/>
              </w:rPr>
              <w:t>2</w:t>
            </w:r>
          </w:p>
        </w:tc>
        <w:tc>
          <w:tcPr>
            <w:tcW w:w="208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床上用品</w:t>
            </w:r>
          </w:p>
        </w:tc>
        <w:tc>
          <w:tcPr>
            <w:tcW w:w="339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床单150*260cm被套</w:t>
            </w:r>
          </w:p>
          <w:p>
            <w:pPr>
              <w:pStyle w:val="11"/>
              <w:tabs>
                <w:tab w:val="left" w:pos="1319"/>
              </w:tabs>
              <w:kinsoku w:val="0"/>
              <w:overflowPunct w:val="0"/>
              <w:spacing w:before="46"/>
              <w:jc w:val="center"/>
              <w:rPr>
                <w:rFonts w:ascii="仿宋_GB2312" w:hAnsi="仿宋_GB2312" w:eastAsia="仿宋_GB2312" w:cs="仿宋_GB2312"/>
              </w:rPr>
            </w:pPr>
            <w:r>
              <w:rPr>
                <w:rFonts w:hint="eastAsia" w:ascii="仿宋_GB2312" w:hAnsi="仿宋_GB2312" w:eastAsia="仿宋_GB2312" w:cs="仿宋_GB2312"/>
              </w:rPr>
              <w:t>160*220cm</w:t>
            </w:r>
            <w:r>
              <w:rPr>
                <w:rFonts w:hint="eastAsia" w:ascii="仿宋_GB2312" w:hAnsi="仿宋_GB2312" w:eastAsia="仿宋_GB2312" w:cs="仿宋_GB2312"/>
              </w:rPr>
              <w:tab/>
            </w:r>
            <w:r>
              <w:rPr>
                <w:rFonts w:hint="eastAsia" w:ascii="仿宋_GB2312" w:hAnsi="仿宋_GB2312" w:eastAsia="仿宋_GB2312" w:cs="仿宋_GB2312"/>
              </w:rPr>
              <w:t>枕套45*70</w:t>
            </w:r>
          </w:p>
        </w:tc>
        <w:tc>
          <w:tcPr>
            <w:tcW w:w="63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ind w:left="214"/>
              <w:jc w:val="center"/>
              <w:rPr>
                <w:rFonts w:ascii="仿宋_GB2312" w:hAnsi="仿宋_GB2312" w:eastAsia="仿宋_GB2312" w:cs="仿宋_GB2312"/>
              </w:rPr>
            </w:pPr>
            <w:r>
              <w:rPr>
                <w:rFonts w:hint="eastAsia" w:ascii="仿宋_GB2312" w:hAnsi="仿宋_GB2312" w:eastAsia="仿宋_GB2312" w:cs="仿宋_GB2312"/>
              </w:rPr>
              <w:t>套</w:t>
            </w:r>
          </w:p>
        </w:tc>
        <w:tc>
          <w:tcPr>
            <w:tcW w:w="795"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823"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8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2"/>
              <w:jc w:val="center"/>
              <w:rPr>
                <w:rFonts w:ascii="仿宋_GB2312" w:hAnsi="仿宋_GB2312" w:eastAsia="仿宋_GB2312" w:cs="仿宋_GB2312"/>
              </w:rPr>
            </w:pPr>
            <w:r>
              <w:rPr>
                <w:rFonts w:hint="eastAsia" w:ascii="仿宋_GB2312" w:hAnsi="仿宋_GB2312" w:eastAsia="仿宋_GB2312" w:cs="仿宋_GB2312"/>
              </w:rPr>
              <w:t>3</w:t>
            </w:r>
          </w:p>
        </w:tc>
        <w:tc>
          <w:tcPr>
            <w:tcW w:w="208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枕头</w:t>
            </w:r>
          </w:p>
        </w:tc>
        <w:tc>
          <w:tcPr>
            <w:tcW w:w="339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45*70cm</w:t>
            </w:r>
          </w:p>
        </w:tc>
        <w:tc>
          <w:tcPr>
            <w:tcW w:w="63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95"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823"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8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208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棉被</w:t>
            </w:r>
          </w:p>
        </w:tc>
        <w:tc>
          <w:tcPr>
            <w:tcW w:w="339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150x200cm</w:t>
            </w:r>
          </w:p>
        </w:tc>
        <w:tc>
          <w:tcPr>
            <w:tcW w:w="63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条</w:t>
            </w:r>
          </w:p>
        </w:tc>
        <w:tc>
          <w:tcPr>
            <w:tcW w:w="795"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4</w:t>
            </w:r>
          </w:p>
        </w:tc>
        <w:tc>
          <w:tcPr>
            <w:tcW w:w="1823"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8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5</w:t>
            </w:r>
          </w:p>
        </w:tc>
        <w:tc>
          <w:tcPr>
            <w:tcW w:w="208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床头柜</w:t>
            </w:r>
          </w:p>
        </w:tc>
        <w:tc>
          <w:tcPr>
            <w:tcW w:w="339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470*470*743MM，ABS材质</w:t>
            </w:r>
          </w:p>
        </w:tc>
        <w:tc>
          <w:tcPr>
            <w:tcW w:w="63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张</w:t>
            </w:r>
          </w:p>
        </w:tc>
        <w:tc>
          <w:tcPr>
            <w:tcW w:w="795"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823"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r>
        <w:tblPrEx>
          <w:tblCellMar>
            <w:top w:w="0" w:type="dxa"/>
            <w:left w:w="0" w:type="dxa"/>
            <w:bottom w:w="0" w:type="dxa"/>
            <w:right w:w="0" w:type="dxa"/>
          </w:tblCellMar>
        </w:tblPrEx>
        <w:trPr>
          <w:trHeight w:val="728" w:hRule="exact"/>
          <w:jc w:val="center"/>
        </w:trPr>
        <w:tc>
          <w:tcPr>
            <w:tcW w:w="88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65"/>
              <w:jc w:val="center"/>
              <w:rPr>
                <w:rFonts w:ascii="仿宋_GB2312" w:hAnsi="仿宋_GB2312" w:eastAsia="仿宋_GB2312" w:cs="仿宋_GB2312"/>
              </w:rPr>
            </w:pPr>
            <w:r>
              <w:rPr>
                <w:rFonts w:hint="eastAsia" w:ascii="仿宋_GB2312" w:hAnsi="仿宋_GB2312" w:eastAsia="仿宋_GB2312" w:cs="仿宋_GB2312"/>
              </w:rPr>
              <w:t>6</w:t>
            </w:r>
          </w:p>
        </w:tc>
        <w:tc>
          <w:tcPr>
            <w:tcW w:w="208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65"/>
              <w:ind w:right="1"/>
              <w:jc w:val="center"/>
              <w:rPr>
                <w:rFonts w:ascii="仿宋_GB2312" w:hAnsi="仿宋_GB2312" w:eastAsia="仿宋_GB2312" w:cs="仿宋_GB2312"/>
              </w:rPr>
            </w:pPr>
            <w:r>
              <w:rPr>
                <w:rFonts w:hint="eastAsia" w:ascii="仿宋_GB2312" w:hAnsi="仿宋_GB2312" w:eastAsia="仿宋_GB2312" w:cs="仿宋_GB2312"/>
              </w:rPr>
              <w:t>床尾椅</w:t>
            </w:r>
          </w:p>
        </w:tc>
        <w:tc>
          <w:tcPr>
            <w:tcW w:w="339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高78cm×宽42cm×长45cm，</w:t>
            </w:r>
          </w:p>
          <w:p>
            <w:pPr>
              <w:pStyle w:val="11"/>
              <w:kinsoku w:val="0"/>
              <w:overflowPunct w:val="0"/>
              <w:spacing w:before="46"/>
              <w:jc w:val="center"/>
              <w:rPr>
                <w:rFonts w:ascii="仿宋_GB2312" w:hAnsi="仿宋_GB2312" w:eastAsia="仿宋_GB2312" w:cs="仿宋_GB2312"/>
              </w:rPr>
            </w:pPr>
            <w:r>
              <w:rPr>
                <w:rFonts w:hint="eastAsia" w:ascii="仿宋_GB2312" w:hAnsi="仿宋_GB2312" w:eastAsia="仿宋_GB2312" w:cs="仿宋_GB2312"/>
              </w:rPr>
              <w:t>椅面座宽42cm×座深39cm.</w:t>
            </w:r>
          </w:p>
        </w:tc>
        <w:tc>
          <w:tcPr>
            <w:tcW w:w="63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65"/>
              <w:ind w:left="214"/>
              <w:jc w:val="both"/>
              <w:rPr>
                <w:rFonts w:ascii="仿宋_GB2312" w:hAnsi="仿宋_GB2312" w:eastAsia="仿宋_GB2312" w:cs="仿宋_GB2312"/>
              </w:rPr>
            </w:pPr>
            <w:r>
              <w:rPr>
                <w:rFonts w:hint="eastAsia" w:ascii="仿宋_GB2312" w:hAnsi="仿宋_GB2312" w:eastAsia="仿宋_GB2312" w:cs="仿宋_GB2312"/>
              </w:rPr>
              <w:t>张</w:t>
            </w:r>
          </w:p>
        </w:tc>
        <w:tc>
          <w:tcPr>
            <w:tcW w:w="795"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65"/>
              <w:jc w:val="center"/>
              <w:rPr>
                <w:rFonts w:ascii="仿宋_GB2312" w:hAnsi="仿宋_GB2312" w:eastAsia="仿宋_GB2312" w:cs="仿宋_GB2312"/>
              </w:rPr>
            </w:pPr>
            <w:r>
              <w:rPr>
                <w:rFonts w:hint="eastAsia" w:ascii="仿宋_GB2312" w:hAnsi="仿宋_GB2312" w:eastAsia="仿宋_GB2312" w:cs="仿宋_GB2312"/>
              </w:rPr>
              <w:t>4</w:t>
            </w:r>
          </w:p>
        </w:tc>
        <w:tc>
          <w:tcPr>
            <w:tcW w:w="1823"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8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7</w:t>
            </w:r>
          </w:p>
        </w:tc>
        <w:tc>
          <w:tcPr>
            <w:tcW w:w="208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标准化老人</w:t>
            </w:r>
          </w:p>
        </w:tc>
        <w:tc>
          <w:tcPr>
            <w:tcW w:w="339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体重身高中等</w:t>
            </w:r>
          </w:p>
        </w:tc>
        <w:tc>
          <w:tcPr>
            <w:tcW w:w="63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位</w:t>
            </w:r>
          </w:p>
        </w:tc>
        <w:tc>
          <w:tcPr>
            <w:tcW w:w="795"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23"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8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208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前开襟纯棉睡衣</w:t>
            </w:r>
          </w:p>
        </w:tc>
        <w:tc>
          <w:tcPr>
            <w:tcW w:w="339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XXXL</w:t>
            </w:r>
          </w:p>
        </w:tc>
        <w:tc>
          <w:tcPr>
            <w:tcW w:w="63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套</w:t>
            </w:r>
          </w:p>
        </w:tc>
        <w:tc>
          <w:tcPr>
            <w:tcW w:w="795"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23"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r>
        <w:tblPrEx>
          <w:tblCellMar>
            <w:top w:w="0" w:type="dxa"/>
            <w:left w:w="0" w:type="dxa"/>
            <w:bottom w:w="0" w:type="dxa"/>
            <w:right w:w="0" w:type="dxa"/>
          </w:tblCellMar>
        </w:tblPrEx>
        <w:trPr>
          <w:trHeight w:val="948" w:hRule="exact"/>
          <w:jc w:val="center"/>
        </w:trPr>
        <w:tc>
          <w:tcPr>
            <w:tcW w:w="88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2"/>
              <w:jc w:val="center"/>
              <w:rPr>
                <w:rFonts w:ascii="仿宋_GB2312" w:hAnsi="仿宋_GB2312" w:eastAsia="仿宋_GB2312" w:cs="仿宋_GB2312"/>
              </w:rPr>
            </w:pPr>
            <w:r>
              <w:rPr>
                <w:rFonts w:hint="eastAsia" w:ascii="仿宋_GB2312" w:hAnsi="仿宋_GB2312" w:eastAsia="仿宋_GB2312" w:cs="仿宋_GB2312"/>
              </w:rPr>
              <w:t>9</w:t>
            </w:r>
          </w:p>
        </w:tc>
        <w:tc>
          <w:tcPr>
            <w:tcW w:w="208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4"/>
              <w:jc w:val="center"/>
              <w:rPr>
                <w:rFonts w:ascii="仿宋_GB2312" w:hAnsi="仿宋_GB2312" w:eastAsia="仿宋_GB2312" w:cs="仿宋_GB2312"/>
                <w:b/>
                <w:sz w:val="15"/>
              </w:rPr>
            </w:pPr>
          </w:p>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双层治疗护理车</w:t>
            </w:r>
          </w:p>
        </w:tc>
        <w:tc>
          <w:tcPr>
            <w:tcW w:w="339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7" w:lineRule="exact"/>
              <w:jc w:val="center"/>
              <w:rPr>
                <w:rFonts w:ascii="仿宋_GB2312" w:hAnsi="仿宋_GB2312" w:eastAsia="仿宋_GB2312" w:cs="仿宋_GB2312"/>
              </w:rPr>
            </w:pPr>
            <w:r>
              <w:rPr>
                <w:rFonts w:hint="eastAsia" w:ascii="仿宋_GB2312" w:hAnsi="仿宋_GB2312" w:eastAsia="仿宋_GB2312" w:cs="仿宋_GB2312"/>
              </w:rPr>
              <w:t>尺寸：783*504*860mm</w:t>
            </w:r>
          </w:p>
          <w:p>
            <w:pPr>
              <w:pStyle w:val="11"/>
              <w:kinsoku w:val="0"/>
              <w:overflowPunct w:val="0"/>
              <w:spacing w:before="29" w:line="312" w:lineRule="exact"/>
              <w:ind w:left="102" w:right="100"/>
              <w:jc w:val="center"/>
              <w:rPr>
                <w:rFonts w:ascii="仿宋_GB2312" w:hAnsi="仿宋_GB2312" w:eastAsia="仿宋_GB2312" w:cs="仿宋_GB2312"/>
              </w:rPr>
            </w:pPr>
            <w:r>
              <w:rPr>
                <w:rFonts w:hint="eastAsia" w:ascii="仿宋_GB2312" w:hAnsi="仿宋_GB2312" w:eastAsia="仿宋_GB2312" w:cs="仿宋_GB2312"/>
              </w:rPr>
              <w:t>台</w:t>
            </w:r>
            <w:r>
              <w:rPr>
                <w:rFonts w:hint="eastAsia" w:ascii="仿宋_GB2312" w:hAnsi="仿宋_GB2312" w:eastAsia="仿宋_GB2312" w:cs="仿宋_GB2312"/>
                <w:spacing w:val="-17"/>
              </w:rPr>
              <w:t>面：</w:t>
            </w:r>
            <w:r>
              <w:rPr>
                <w:rFonts w:hint="eastAsia" w:ascii="仿宋_GB2312" w:hAnsi="仿宋_GB2312" w:eastAsia="仿宋_GB2312" w:cs="仿宋_GB2312"/>
              </w:rPr>
              <w:t>695*485M</w:t>
            </w:r>
            <w:r>
              <w:rPr>
                <w:rFonts w:hint="eastAsia" w:ascii="仿宋_GB2312" w:hAnsi="仿宋_GB2312" w:eastAsia="仿宋_GB2312" w:cs="仿宋_GB2312"/>
                <w:spacing w:val="-32"/>
              </w:rPr>
              <w:t>M</w:t>
            </w:r>
            <w:r>
              <w:rPr>
                <w:rFonts w:hint="eastAsia" w:ascii="仿宋_GB2312" w:hAnsi="仿宋_GB2312" w:eastAsia="仿宋_GB2312" w:cs="仿宋_GB2312"/>
              </w:rPr>
              <w:t>（备医用垃圾和生活垃圾桶）</w:t>
            </w:r>
          </w:p>
        </w:tc>
        <w:tc>
          <w:tcPr>
            <w:tcW w:w="63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4"/>
              <w:jc w:val="both"/>
              <w:rPr>
                <w:rFonts w:ascii="仿宋_GB2312" w:hAnsi="仿宋_GB2312" w:eastAsia="仿宋_GB2312" w:cs="仿宋_GB2312"/>
                <w:b/>
                <w:sz w:val="15"/>
              </w:rPr>
            </w:pPr>
          </w:p>
          <w:p>
            <w:pPr>
              <w:pStyle w:val="11"/>
              <w:kinsoku w:val="0"/>
              <w:overflowPunct w:val="0"/>
              <w:ind w:left="214"/>
              <w:jc w:val="both"/>
              <w:rPr>
                <w:rFonts w:ascii="仿宋_GB2312" w:hAnsi="仿宋_GB2312" w:eastAsia="仿宋_GB2312" w:cs="仿宋_GB2312"/>
              </w:rPr>
            </w:pPr>
            <w:r>
              <w:rPr>
                <w:rFonts w:hint="eastAsia" w:ascii="仿宋_GB2312" w:hAnsi="仿宋_GB2312" w:eastAsia="仿宋_GB2312" w:cs="仿宋_GB2312"/>
              </w:rPr>
              <w:t>辆</w:t>
            </w:r>
          </w:p>
        </w:tc>
        <w:tc>
          <w:tcPr>
            <w:tcW w:w="795"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4"/>
              <w:jc w:val="center"/>
              <w:rPr>
                <w:rFonts w:ascii="仿宋_GB2312" w:hAnsi="仿宋_GB2312" w:eastAsia="仿宋_GB2312" w:cs="仿宋_GB2312"/>
                <w:b/>
                <w:sz w:val="15"/>
              </w:rPr>
            </w:pPr>
          </w:p>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16</w:t>
            </w:r>
          </w:p>
        </w:tc>
        <w:tc>
          <w:tcPr>
            <w:tcW w:w="1823"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bl>
    <w:p>
      <w:pPr>
        <w:ind w:firstLine="560" w:firstLineChars="200"/>
        <w:rPr>
          <w:rFonts w:ascii="仿宋_GB2312" w:hAnsi="仿宋_GB2312" w:eastAsia="仿宋_GB2312" w:cs="仿宋_GB2312"/>
          <w:sz w:val="28"/>
          <w:szCs w:val="28"/>
        </w:rPr>
      </w:pPr>
    </w:p>
    <w:tbl>
      <w:tblPr>
        <w:tblStyle w:val="6"/>
        <w:tblW w:w="9603" w:type="dxa"/>
        <w:jc w:val="center"/>
        <w:tblLayout w:type="fixed"/>
        <w:tblCellMar>
          <w:top w:w="0" w:type="dxa"/>
          <w:left w:w="0" w:type="dxa"/>
          <w:bottom w:w="0" w:type="dxa"/>
          <w:right w:w="0" w:type="dxa"/>
        </w:tblCellMar>
      </w:tblPr>
      <w:tblGrid>
        <w:gridCol w:w="850"/>
        <w:gridCol w:w="2122"/>
        <w:gridCol w:w="3414"/>
        <w:gridCol w:w="659"/>
        <w:gridCol w:w="754"/>
        <w:gridCol w:w="1804"/>
      </w:tblGrid>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10</w:t>
            </w:r>
          </w:p>
        </w:tc>
        <w:tc>
          <w:tcPr>
            <w:tcW w:w="212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治疗盘</w:t>
            </w:r>
          </w:p>
        </w:tc>
        <w:tc>
          <w:tcPr>
            <w:tcW w:w="341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right="12"/>
              <w:jc w:val="center"/>
              <w:rPr>
                <w:rFonts w:ascii="仿宋_GB2312" w:hAnsi="仿宋_GB2312" w:eastAsia="仿宋_GB2312" w:cs="仿宋_GB2312"/>
              </w:rPr>
            </w:pPr>
            <w:r>
              <w:rPr>
                <w:rFonts w:hint="eastAsia" w:ascii="仿宋_GB2312" w:hAnsi="仿宋_GB2312" w:eastAsia="仿宋_GB2312" w:cs="仿宋_GB2312"/>
              </w:rPr>
              <w:t>40X30cm</w:t>
            </w:r>
          </w:p>
        </w:tc>
        <w:tc>
          <w:tcPr>
            <w:tcW w:w="659"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16</w:t>
            </w:r>
          </w:p>
        </w:tc>
        <w:tc>
          <w:tcPr>
            <w:tcW w:w="1804"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11</w:t>
            </w:r>
          </w:p>
        </w:tc>
        <w:tc>
          <w:tcPr>
            <w:tcW w:w="212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弯盘</w:t>
            </w:r>
          </w:p>
        </w:tc>
        <w:tc>
          <w:tcPr>
            <w:tcW w:w="341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不锈钢，13*20*2.5cm</w:t>
            </w:r>
          </w:p>
        </w:tc>
        <w:tc>
          <w:tcPr>
            <w:tcW w:w="659"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16</w:t>
            </w:r>
          </w:p>
        </w:tc>
        <w:tc>
          <w:tcPr>
            <w:tcW w:w="1804"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12</w:t>
            </w:r>
          </w:p>
        </w:tc>
        <w:tc>
          <w:tcPr>
            <w:tcW w:w="212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医用免洗洗手液</w:t>
            </w:r>
          </w:p>
        </w:tc>
        <w:tc>
          <w:tcPr>
            <w:tcW w:w="341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right="10"/>
              <w:jc w:val="center"/>
              <w:rPr>
                <w:rFonts w:ascii="仿宋_GB2312" w:hAnsi="仿宋_GB2312" w:eastAsia="仿宋_GB2312" w:cs="仿宋_GB2312"/>
              </w:rPr>
            </w:pPr>
            <w:r>
              <w:rPr>
                <w:rFonts w:hint="eastAsia" w:ascii="仿宋_GB2312" w:hAnsi="仿宋_GB2312" w:eastAsia="仿宋_GB2312" w:cs="仿宋_GB2312"/>
              </w:rPr>
              <w:t>500毫升</w:t>
            </w:r>
          </w:p>
        </w:tc>
        <w:tc>
          <w:tcPr>
            <w:tcW w:w="659"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瓶</w:t>
            </w:r>
          </w:p>
        </w:tc>
        <w:tc>
          <w:tcPr>
            <w:tcW w:w="75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16</w:t>
            </w:r>
          </w:p>
        </w:tc>
        <w:tc>
          <w:tcPr>
            <w:tcW w:w="1804"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center"/>
              <w:rPr>
                <w:rFonts w:ascii="仿宋_GB2312" w:hAnsi="仿宋_GB2312" w:eastAsia="仿宋_GB2312" w:cs="仿宋_GB2312"/>
              </w:rPr>
            </w:pPr>
            <w:r>
              <w:rPr>
                <w:rFonts w:hint="eastAsia" w:ascii="仿宋_GB2312" w:hAnsi="仿宋_GB2312" w:eastAsia="仿宋_GB2312" w:cs="仿宋_GB2312"/>
              </w:rPr>
              <w:t>13</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记录笔</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0"/>
              <w:jc w:val="center"/>
              <w:rPr>
                <w:rFonts w:ascii="仿宋_GB2312" w:hAnsi="仿宋_GB2312" w:eastAsia="仿宋_GB2312" w:cs="仿宋_GB2312"/>
              </w:rPr>
            </w:pPr>
            <w:r>
              <w:rPr>
                <w:rFonts w:hint="eastAsia" w:ascii="仿宋_GB2312" w:hAnsi="仿宋_GB2312" w:eastAsia="仿宋_GB2312" w:cs="仿宋_GB2312"/>
              </w:rPr>
              <w:t>黑色0.5m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center"/>
              <w:rPr>
                <w:rFonts w:ascii="仿宋_GB2312" w:hAnsi="仿宋_GB2312" w:eastAsia="仿宋_GB2312" w:cs="仿宋_GB2312"/>
              </w:rPr>
            </w:pPr>
            <w:r>
              <w:rPr>
                <w:rFonts w:hint="eastAsia" w:ascii="仿宋_GB2312" w:hAnsi="仿宋_GB2312" w:eastAsia="仿宋_GB2312" w:cs="仿宋_GB2312"/>
              </w:rPr>
              <w:t>支</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center"/>
              <w:rPr>
                <w:rFonts w:ascii="仿宋_GB2312" w:hAnsi="仿宋_GB2312" w:eastAsia="仿宋_GB2312" w:cs="仿宋_GB2312"/>
              </w:rPr>
            </w:pPr>
            <w:r>
              <w:rPr>
                <w:rFonts w:hint="eastAsia" w:ascii="仿宋_GB2312" w:hAnsi="仿宋_GB2312" w:eastAsia="仿宋_GB2312" w:cs="仿宋_GB2312"/>
              </w:rPr>
              <w:t>14</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照护记录单</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0"/>
              <w:jc w:val="center"/>
              <w:rPr>
                <w:rFonts w:ascii="仿宋_GB2312" w:hAnsi="仿宋_GB2312" w:eastAsia="仿宋_GB2312" w:cs="仿宋_GB2312"/>
              </w:rPr>
            </w:pPr>
            <w:r>
              <w:rPr>
                <w:rFonts w:hint="eastAsia" w:ascii="仿宋_GB2312" w:hAnsi="仿宋_GB2312" w:eastAsia="仿宋_GB2312" w:cs="仿宋_GB2312"/>
              </w:rPr>
              <w:t>A4纸张</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center"/>
              <w:rPr>
                <w:rFonts w:ascii="仿宋_GB2312" w:hAnsi="仿宋_GB2312" w:eastAsia="仿宋_GB2312" w:cs="仿宋_GB2312"/>
              </w:rPr>
            </w:pPr>
            <w:r>
              <w:rPr>
                <w:rFonts w:hint="eastAsia" w:ascii="仿宋_GB2312" w:hAnsi="仿宋_GB2312" w:eastAsia="仿宋_GB2312" w:cs="仿宋_GB2312"/>
              </w:rPr>
              <w:t>张</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100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15</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记录夹</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2"/>
              <w:jc w:val="center"/>
              <w:rPr>
                <w:rFonts w:ascii="仿宋_GB2312" w:hAnsi="仿宋_GB2312" w:eastAsia="仿宋_GB2312" w:cs="仿宋_GB2312"/>
              </w:rPr>
            </w:pPr>
            <w:r>
              <w:rPr>
                <w:rFonts w:hint="eastAsia" w:ascii="仿宋_GB2312" w:hAnsi="仿宋_GB2312" w:eastAsia="仿宋_GB2312" w:cs="仿宋_GB2312"/>
              </w:rPr>
              <w:t>315*226mm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16</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634"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16</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right="1"/>
              <w:jc w:val="center"/>
              <w:rPr>
                <w:rFonts w:ascii="仿宋_GB2312" w:hAnsi="仿宋_GB2312" w:eastAsia="仿宋_GB2312" w:cs="仿宋_GB2312"/>
              </w:rPr>
            </w:pPr>
            <w:r>
              <w:rPr>
                <w:rFonts w:hint="eastAsia" w:ascii="仿宋_GB2312" w:hAnsi="仿宋_GB2312" w:eastAsia="仿宋_GB2312" w:cs="仿宋_GB2312"/>
              </w:rPr>
              <w:t>腕带</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ind w:left="102" w:right="-6"/>
              <w:jc w:val="center"/>
              <w:rPr>
                <w:rFonts w:ascii="仿宋_GB2312" w:hAnsi="仿宋_GB2312" w:eastAsia="仿宋_GB2312" w:cs="仿宋_GB2312"/>
                <w:spacing w:val="-5"/>
              </w:rPr>
            </w:pPr>
            <w:r>
              <w:rPr>
                <w:rFonts w:hint="eastAsia" w:ascii="仿宋_GB2312" w:hAnsi="仿宋_GB2312" w:eastAsia="仿宋_GB2312" w:cs="仿宋_GB2312"/>
                <w:spacing w:val="-5"/>
              </w:rPr>
              <w:t>有姓名、性别、年龄、住院号、</w:t>
            </w:r>
          </w:p>
          <w:p>
            <w:pPr>
              <w:pStyle w:val="11"/>
              <w:kinsoku w:val="0"/>
              <w:overflowPunct w:val="0"/>
              <w:spacing w:line="313" w:lineRule="exact"/>
              <w:ind w:right="12"/>
              <w:jc w:val="center"/>
              <w:rPr>
                <w:rFonts w:ascii="仿宋_GB2312" w:hAnsi="仿宋_GB2312" w:eastAsia="仿宋_GB2312" w:cs="仿宋_GB2312"/>
              </w:rPr>
            </w:pPr>
            <w:r>
              <w:rPr>
                <w:rFonts w:hint="eastAsia" w:ascii="仿宋_GB2312" w:hAnsi="仿宋_GB2312" w:eastAsia="仿宋_GB2312" w:cs="仿宋_GB2312"/>
              </w:rPr>
              <w:t>科室、入院日期</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20</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ind w:right="-18"/>
              <w:jc w:val="center"/>
              <w:rPr>
                <w:rFonts w:ascii="仿宋_GB2312" w:hAnsi="仿宋_GB2312" w:eastAsia="仿宋_GB2312" w:cs="仿宋_GB2312"/>
              </w:rPr>
            </w:pPr>
            <w:r>
              <w:rPr>
                <w:rFonts w:hint="eastAsia" w:ascii="仿宋_GB2312" w:hAnsi="仿宋_GB2312" w:eastAsia="仿宋_GB2312" w:cs="仿宋_GB2312"/>
                <w:spacing w:val="7"/>
              </w:rPr>
              <w:t>（医院里患者</w:t>
            </w:r>
          </w:p>
          <w:p>
            <w:pPr>
              <w:pStyle w:val="11"/>
              <w:kinsoku w:val="0"/>
              <w:overflowPunct w:val="0"/>
              <w:spacing w:line="313" w:lineRule="exact"/>
              <w:ind w:left="102" w:right="-18"/>
              <w:jc w:val="center"/>
              <w:rPr>
                <w:rFonts w:ascii="仿宋_GB2312" w:hAnsi="仿宋_GB2312" w:eastAsia="仿宋_GB2312" w:cs="仿宋_GB2312"/>
              </w:rPr>
            </w:pPr>
            <w:r>
              <w:rPr>
                <w:rFonts w:hint="eastAsia" w:ascii="仿宋_GB2312" w:hAnsi="仿宋_GB2312" w:eastAsia="仿宋_GB2312" w:cs="仿宋_GB2312"/>
              </w:rPr>
              <w:t>的腕带</w:t>
            </w:r>
            <w:r>
              <w:rPr>
                <w:rFonts w:hint="eastAsia" w:ascii="仿宋_GB2312" w:hAnsi="仿宋_GB2312" w:eastAsia="仿宋_GB2312" w:cs="仿宋_GB2312"/>
                <w:spacing w:val="-87"/>
              </w:rPr>
              <w:t>，</w:t>
            </w:r>
            <w:r>
              <w:rPr>
                <w:rFonts w:hint="eastAsia" w:ascii="仿宋_GB2312" w:hAnsi="仿宋_GB2312" w:eastAsia="仿宋_GB2312" w:cs="仿宋_GB2312"/>
              </w:rPr>
              <w:t>蓝色）</w:t>
            </w:r>
          </w:p>
        </w:tc>
      </w:tr>
      <w:tr>
        <w:tblPrEx>
          <w:tblCellMar>
            <w:top w:w="0" w:type="dxa"/>
            <w:left w:w="0" w:type="dxa"/>
            <w:bottom w:w="0" w:type="dxa"/>
            <w:right w:w="0" w:type="dxa"/>
          </w:tblCellMar>
        </w:tblPrEx>
        <w:trPr>
          <w:trHeight w:val="634"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17</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right="1"/>
              <w:jc w:val="center"/>
              <w:rPr>
                <w:rFonts w:ascii="仿宋_GB2312" w:hAnsi="仿宋_GB2312" w:eastAsia="仿宋_GB2312" w:cs="仿宋_GB2312"/>
              </w:rPr>
            </w:pPr>
            <w:r>
              <w:rPr>
                <w:rFonts w:hint="eastAsia" w:ascii="仿宋_GB2312" w:hAnsi="仿宋_GB2312" w:eastAsia="仿宋_GB2312" w:cs="仿宋_GB2312"/>
              </w:rPr>
              <w:t>床头卡</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ind w:left="102" w:right="-6"/>
              <w:jc w:val="center"/>
              <w:rPr>
                <w:rFonts w:ascii="仿宋_GB2312" w:hAnsi="仿宋_GB2312" w:eastAsia="仿宋_GB2312" w:cs="仿宋_GB2312"/>
                <w:spacing w:val="-5"/>
              </w:rPr>
            </w:pPr>
            <w:r>
              <w:rPr>
                <w:rFonts w:hint="eastAsia" w:ascii="仿宋_GB2312" w:hAnsi="仿宋_GB2312" w:eastAsia="仿宋_GB2312" w:cs="仿宋_GB2312"/>
                <w:spacing w:val="-5"/>
              </w:rPr>
              <w:t>有床号、住院号、姓名、年龄、</w:t>
            </w:r>
          </w:p>
          <w:p>
            <w:pPr>
              <w:pStyle w:val="11"/>
              <w:kinsoku w:val="0"/>
              <w:overflowPunct w:val="0"/>
              <w:spacing w:line="313" w:lineRule="exact"/>
              <w:ind w:right="12"/>
              <w:jc w:val="center"/>
              <w:rPr>
                <w:rFonts w:ascii="仿宋_GB2312" w:hAnsi="仿宋_GB2312" w:eastAsia="仿宋_GB2312" w:cs="仿宋_GB2312"/>
              </w:rPr>
            </w:pPr>
            <w:r>
              <w:rPr>
                <w:rFonts w:hint="eastAsia" w:ascii="仿宋_GB2312" w:hAnsi="仿宋_GB2312" w:eastAsia="仿宋_GB2312" w:cs="仿宋_GB2312"/>
              </w:rPr>
              <w:t>性别、入院日期、护理级别</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20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18</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银白色假发头套</w:t>
            </w:r>
          </w:p>
        </w:tc>
        <w:tc>
          <w:tcPr>
            <w:tcW w:w="34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19</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血压计</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台式水银血压计、电子血压计</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台</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20</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听诊器</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2"/>
              <w:jc w:val="center"/>
              <w:rPr>
                <w:rFonts w:ascii="仿宋_GB2312" w:hAnsi="仿宋_GB2312" w:eastAsia="仿宋_GB2312" w:cs="仿宋_GB2312"/>
              </w:rPr>
            </w:pPr>
            <w:r>
              <w:rPr>
                <w:rFonts w:hint="eastAsia" w:ascii="仿宋_GB2312" w:hAnsi="仿宋_GB2312" w:eastAsia="仿宋_GB2312" w:cs="仿宋_GB2312"/>
              </w:rPr>
              <w:t>标准</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645"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21</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轮椅车</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刹车类型：手刹；材质：</w:t>
            </w:r>
          </w:p>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铝合金可折叠</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辆</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4</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22</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毛毯</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2"/>
              <w:jc w:val="center"/>
              <w:rPr>
                <w:rFonts w:ascii="仿宋_GB2312" w:hAnsi="仿宋_GB2312" w:eastAsia="仿宋_GB2312" w:cs="仿宋_GB2312"/>
              </w:rPr>
            </w:pPr>
            <w:r>
              <w:rPr>
                <w:rFonts w:hint="eastAsia" w:ascii="仿宋_GB2312" w:hAnsi="仿宋_GB2312" w:eastAsia="仿宋_GB2312" w:cs="仿宋_GB2312"/>
              </w:rPr>
              <w:t>1.2×1.5</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条</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23</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楔形垫</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46*25*14.5cm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12</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24</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CT检查单</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2"/>
              <w:jc w:val="center"/>
              <w:rPr>
                <w:rFonts w:ascii="仿宋_GB2312" w:hAnsi="仿宋_GB2312" w:eastAsia="仿宋_GB2312" w:cs="仿宋_GB2312"/>
              </w:rPr>
            </w:pPr>
            <w:r>
              <w:rPr>
                <w:rFonts w:hint="eastAsia" w:ascii="仿宋_GB2312" w:hAnsi="仿宋_GB2312" w:eastAsia="仿宋_GB2312" w:cs="仿宋_GB2312"/>
              </w:rPr>
              <w:t>A4</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张</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25</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大号软枕</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74*48cm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20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26</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中号软枕</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50*35cm左右</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20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27</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41"/>
              <w:jc w:val="center"/>
              <w:rPr>
                <w:rFonts w:ascii="仿宋_GB2312" w:hAnsi="仿宋_GB2312" w:eastAsia="仿宋_GB2312" w:cs="仿宋_GB2312"/>
              </w:rPr>
            </w:pPr>
            <w:r>
              <w:rPr>
                <w:rFonts w:hint="eastAsia" w:ascii="仿宋_GB2312" w:hAnsi="仿宋_GB2312" w:eastAsia="仿宋_GB2312" w:cs="仿宋_GB2312"/>
              </w:rPr>
              <w:t>小号软枕</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41"/>
              <w:ind w:right="12"/>
              <w:jc w:val="center"/>
              <w:rPr>
                <w:rFonts w:ascii="仿宋_GB2312" w:hAnsi="仿宋_GB2312" w:eastAsia="仿宋_GB2312" w:cs="仿宋_GB2312"/>
              </w:rPr>
            </w:pPr>
            <w:r>
              <w:rPr>
                <w:rFonts w:hint="eastAsia" w:ascii="仿宋_GB2312" w:hAnsi="仿宋_GB2312" w:eastAsia="仿宋_GB2312" w:cs="仿宋_GB2312"/>
              </w:rPr>
              <w:t>30*20cm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41"/>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20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28</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水杯</w:t>
            </w:r>
          </w:p>
        </w:tc>
        <w:tc>
          <w:tcPr>
            <w:tcW w:w="34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3" w:lineRule="auto"/>
              <w:ind w:right="201"/>
              <w:jc w:val="center"/>
              <w:rPr>
                <w:rFonts w:ascii="仿宋_GB2312" w:hAnsi="仿宋_GB2312" w:eastAsia="仿宋_GB2312" w:cs="仿宋_GB2312"/>
              </w:rPr>
            </w:pPr>
            <w:r>
              <w:rPr>
                <w:rFonts w:hint="eastAsia" w:ascii="仿宋_GB2312" w:hAnsi="仿宋_GB2312" w:eastAsia="仿宋_GB2312" w:cs="仿宋_GB2312"/>
              </w:rPr>
              <w:t>若干</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jc w:val="center"/>
              <w:rPr>
                <w:rFonts w:ascii="仿宋_GB2312" w:hAnsi="仿宋_GB2312" w:eastAsia="仿宋_GB2312" w:cs="仿宋_GB2312"/>
              </w:rPr>
            </w:pPr>
            <w:r>
              <w:rPr>
                <w:rFonts w:hint="eastAsia" w:ascii="仿宋_GB2312" w:hAnsi="仿宋_GB2312" w:eastAsia="仿宋_GB2312" w:cs="仿宋_GB2312"/>
              </w:rPr>
              <w:t>一次性纸杯</w:t>
            </w: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29</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小毛巾</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2"/>
              <w:jc w:val="center"/>
              <w:rPr>
                <w:rFonts w:ascii="仿宋_GB2312" w:hAnsi="仿宋_GB2312" w:eastAsia="仿宋_GB2312" w:cs="仿宋_GB2312"/>
              </w:rPr>
            </w:pPr>
            <w:r>
              <w:rPr>
                <w:rFonts w:hint="eastAsia" w:ascii="仿宋_GB2312" w:hAnsi="仿宋_GB2312" w:eastAsia="仿宋_GB2312" w:cs="仿宋_GB2312"/>
              </w:rPr>
              <w:t>25*25cm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条</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20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30</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痰盂</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2"/>
              <w:jc w:val="center"/>
              <w:rPr>
                <w:rFonts w:ascii="仿宋_GB2312" w:hAnsi="仿宋_GB2312" w:eastAsia="仿宋_GB2312" w:cs="仿宋_GB2312"/>
              </w:rPr>
            </w:pPr>
            <w:r>
              <w:rPr>
                <w:rFonts w:hint="eastAsia" w:ascii="仿宋_GB2312" w:hAnsi="仿宋_GB2312" w:eastAsia="仿宋_GB2312" w:cs="仿宋_GB2312"/>
              </w:rPr>
              <w:t>标准</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31</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污物杯</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在杯子外标</w:t>
            </w:r>
            <w:r>
              <w:rPr>
                <w:rFonts w:hint="eastAsia" w:ascii="仿宋_GB2312" w:hAnsi="仿宋_GB2312" w:eastAsia="仿宋_GB2312" w:cs="仿宋_GB2312"/>
                <w:spacing w:val="-32"/>
              </w:rPr>
              <w:t>注</w:t>
            </w:r>
            <w:r>
              <w:rPr>
                <w:rFonts w:hint="eastAsia" w:ascii="仿宋_GB2312" w:hAnsi="仿宋_GB2312" w:eastAsia="仿宋_GB2312" w:cs="仿宋_GB2312"/>
              </w:rPr>
              <w:t>“污物杯</w:t>
            </w:r>
            <w:r>
              <w:rPr>
                <w:rFonts w:hint="eastAsia" w:ascii="仿宋_GB2312" w:hAnsi="仿宋_GB2312" w:eastAsia="仿宋_GB2312" w:cs="仿宋_GB2312"/>
                <w:spacing w:val="-32"/>
              </w:rPr>
              <w:t>”</w:t>
            </w:r>
            <w:r>
              <w:rPr>
                <w:rFonts w:hint="eastAsia" w:ascii="仿宋_GB2312" w:hAnsi="仿宋_GB2312" w:eastAsia="仿宋_GB2312" w:cs="仿宋_GB2312"/>
              </w:rPr>
              <w:t>名称</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若干</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一次性纸杯</w:t>
            </w: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32</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一次性护理垫</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2"/>
              <w:jc w:val="center"/>
              <w:rPr>
                <w:rFonts w:ascii="仿宋_GB2312" w:hAnsi="仿宋_GB2312" w:eastAsia="仿宋_GB2312" w:cs="仿宋_GB2312"/>
              </w:rPr>
            </w:pPr>
            <w:r>
              <w:rPr>
                <w:rFonts w:hint="eastAsia" w:ascii="仿宋_GB2312" w:hAnsi="仿宋_GB2312" w:eastAsia="仿宋_GB2312" w:cs="仿宋_GB2312"/>
              </w:rPr>
              <w:t>80cm*60cm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30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33</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塑料吸管</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0"/>
              <w:jc w:val="center"/>
              <w:rPr>
                <w:rFonts w:ascii="仿宋_GB2312" w:hAnsi="仿宋_GB2312" w:eastAsia="仿宋_GB2312" w:cs="仿宋_GB2312"/>
              </w:rPr>
            </w:pPr>
            <w:r>
              <w:rPr>
                <w:rFonts w:hint="eastAsia" w:ascii="仿宋_GB2312" w:hAnsi="仿宋_GB2312" w:eastAsia="仿宋_GB2312" w:cs="仿宋_GB2312"/>
              </w:rPr>
              <w:t>50只装</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根</w:t>
            </w:r>
          </w:p>
        </w:tc>
        <w:tc>
          <w:tcPr>
            <w:tcW w:w="7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34</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屏风</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jc w:val="center"/>
              <w:rPr>
                <w:rFonts w:ascii="仿宋_GB2312" w:hAnsi="仿宋_GB2312" w:eastAsia="仿宋_GB2312" w:cs="仿宋_GB2312"/>
              </w:rPr>
            </w:pPr>
            <w:r>
              <w:rPr>
                <w:rFonts w:hint="eastAsia" w:ascii="仿宋_GB2312" w:hAnsi="仿宋_GB2312" w:eastAsia="仿宋_GB2312" w:cs="仿宋_GB2312"/>
              </w:rPr>
              <w:t>180cm*200cm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3" w:lineRule="auto"/>
              <w:ind w:right="201"/>
              <w:jc w:val="center"/>
              <w:rPr>
                <w:rFonts w:ascii="仿宋_GB2312" w:hAnsi="仿宋_GB2312" w:eastAsia="仿宋_GB2312" w:cs="仿宋_GB2312"/>
              </w:rPr>
            </w:pPr>
            <w:r>
              <w:rPr>
                <w:rFonts w:hint="eastAsia" w:ascii="仿宋_GB2312" w:hAnsi="仿宋_GB2312" w:eastAsia="仿宋_GB2312" w:cs="仿宋_GB2312"/>
              </w:rPr>
              <w:t>屏风</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67"/>
              <w:jc w:val="center"/>
              <w:rPr>
                <w:rFonts w:ascii="仿宋_GB2312" w:hAnsi="仿宋_GB2312" w:eastAsia="仿宋_GB2312" w:cs="仿宋_GB2312"/>
              </w:rPr>
            </w:pPr>
            <w:r>
              <w:rPr>
                <w:rFonts w:hint="eastAsia" w:ascii="仿宋_GB2312" w:hAnsi="仿宋_GB2312" w:eastAsia="仿宋_GB2312" w:cs="仿宋_GB2312"/>
              </w:rPr>
              <w:t>必要时</w:t>
            </w: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35</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留取标本盒</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标准</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必要时</w:t>
            </w: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36</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餐巾纸</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tabs>
                <w:tab w:val="left" w:pos="1868"/>
              </w:tabs>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3层*130抽</w:t>
            </w:r>
            <w:r>
              <w:rPr>
                <w:rFonts w:hint="eastAsia" w:ascii="仿宋_GB2312" w:hAnsi="仿宋_GB2312" w:eastAsia="仿宋_GB2312" w:cs="仿宋_GB2312"/>
              </w:rPr>
              <w:tab/>
            </w:r>
            <w:r>
              <w:rPr>
                <w:rFonts w:hint="eastAsia" w:ascii="仿宋_GB2312" w:hAnsi="仿宋_GB2312" w:eastAsia="仿宋_GB2312" w:cs="仿宋_GB2312"/>
              </w:rPr>
              <w:t>133m*195mm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包</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37</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粒粒橙</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500ml</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瓶</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果汁</w:t>
            </w: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38</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绷带</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7.5*7.5</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卷</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39</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纱布块</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普通</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块</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60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40</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医用胶布</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同上</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卷</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20</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纸质的</w:t>
            </w: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41</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剪刀</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中号</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把</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42</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救护用三角巾</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90*90*130CM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条</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ind w:left="217"/>
              <w:jc w:val="both"/>
              <w:rPr>
                <w:rFonts w:ascii="仿宋_GB2312" w:hAnsi="仿宋_GB2312" w:eastAsia="仿宋_GB2312" w:cs="仿宋_GB2312"/>
              </w:rPr>
            </w:pPr>
            <w:r>
              <w:rPr>
                <w:rFonts w:hint="eastAsia" w:ascii="仿宋_GB2312" w:hAnsi="仿宋_GB2312" w:eastAsia="仿宋_GB2312" w:cs="仿宋_GB2312"/>
              </w:rPr>
              <w:t>43</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jc w:val="center"/>
              <w:rPr>
                <w:rFonts w:ascii="仿宋_GB2312" w:hAnsi="仿宋_GB2312" w:eastAsia="仿宋_GB2312" w:cs="仿宋_GB2312"/>
              </w:rPr>
            </w:pPr>
            <w:r>
              <w:rPr>
                <w:rFonts w:hint="eastAsia" w:ascii="仿宋_GB2312" w:hAnsi="仿宋_GB2312" w:eastAsia="仿宋_GB2312" w:cs="仿宋_GB2312"/>
              </w:rPr>
              <w:t>一次性口罩</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jc w:val="center"/>
              <w:rPr>
                <w:rFonts w:ascii="仿宋_GB2312" w:hAnsi="仿宋_GB2312" w:eastAsia="仿宋_GB2312" w:cs="仿宋_GB2312"/>
              </w:rPr>
            </w:pPr>
            <w:r>
              <w:rPr>
                <w:rFonts w:hint="eastAsia" w:ascii="仿宋_GB2312" w:hAnsi="仿宋_GB2312" w:eastAsia="仿宋_GB2312" w:cs="仿宋_GB2312"/>
              </w:rPr>
              <w:t>独立包装</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jc w:val="center"/>
              <w:rPr>
                <w:rFonts w:ascii="仿宋_GB2312" w:hAnsi="仿宋_GB2312" w:eastAsia="仿宋_GB2312" w:cs="仿宋_GB2312"/>
              </w:rPr>
            </w:pPr>
            <w:r>
              <w:rPr>
                <w:rFonts w:hint="eastAsia" w:ascii="仿宋_GB2312" w:hAnsi="仿宋_GB2312" w:eastAsia="仿宋_GB2312" w:cs="仿宋_GB2312"/>
              </w:rPr>
              <w:t>120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44</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碘伏</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100ml/瓶</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瓶</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20</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jc w:val="center"/>
              <w:rPr>
                <w:rFonts w:ascii="仿宋_GB2312" w:hAnsi="仿宋_GB2312" w:eastAsia="仿宋_GB2312" w:cs="仿宋_GB2312"/>
              </w:rPr>
            </w:pPr>
            <w:r>
              <w:rPr>
                <w:rFonts w:hint="eastAsia" w:ascii="仿宋_GB2312" w:hAnsi="仿宋_GB2312" w:eastAsia="仿宋_GB2312" w:cs="仿宋_GB2312"/>
              </w:rPr>
              <w:t>碘伏</w:t>
            </w: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45</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棉签</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10个/包</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包</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30</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棉签</w:t>
            </w: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46</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right="1"/>
              <w:jc w:val="center"/>
              <w:rPr>
                <w:rFonts w:ascii="仿宋_GB2312" w:hAnsi="仿宋_GB2312" w:eastAsia="仿宋_GB2312" w:cs="仿宋_GB2312"/>
              </w:rPr>
            </w:pPr>
            <w:r>
              <w:rPr>
                <w:rFonts w:hint="eastAsia" w:ascii="仿宋_GB2312" w:hAnsi="仿宋_GB2312" w:eastAsia="仿宋_GB2312" w:cs="仿宋_GB2312"/>
              </w:rPr>
              <w:t>棉垫</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10平方厘米</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块</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4</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棉垫</w:t>
            </w:r>
          </w:p>
        </w:tc>
      </w:tr>
      <w:tr>
        <w:tblPrEx>
          <w:tblCellMar>
            <w:top w:w="0" w:type="dxa"/>
            <w:left w:w="0" w:type="dxa"/>
            <w:bottom w:w="0" w:type="dxa"/>
            <w:right w:w="0" w:type="dxa"/>
          </w:tblCellMar>
        </w:tblPrEx>
        <w:trPr>
          <w:trHeight w:val="615"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47</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康复训练步梯</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330*82*130</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ind w:left="214"/>
              <w:jc w:val="both"/>
              <w:rPr>
                <w:rFonts w:ascii="仿宋_GB2312" w:hAnsi="仿宋_GB2312" w:eastAsia="仿宋_GB2312" w:cs="仿宋_GB2312"/>
              </w:rPr>
            </w:pPr>
            <w:r>
              <w:rPr>
                <w:rFonts w:hint="eastAsia" w:ascii="仿宋_GB2312" w:hAnsi="仿宋_GB2312" w:eastAsia="仿宋_GB2312" w:cs="仿宋_GB2312"/>
              </w:rPr>
              <w:t>付</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9"/>
              <w:jc w:val="center"/>
              <w:rPr>
                <w:rFonts w:ascii="仿宋_GB2312" w:hAnsi="仿宋_GB2312" w:eastAsia="仿宋_GB2312" w:cs="仿宋_GB2312"/>
              </w:rPr>
            </w:pPr>
          </w:p>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2</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ind w:left="119"/>
              <w:jc w:val="center"/>
              <w:rPr>
                <w:rFonts w:ascii="仿宋_GB2312" w:hAnsi="仿宋_GB2312" w:eastAsia="仿宋_GB2312" w:cs="仿宋_GB2312"/>
              </w:rPr>
            </w:pPr>
            <w:r>
              <w:rPr>
                <w:rFonts w:hint="eastAsia" w:ascii="仿宋_GB2312" w:hAnsi="仿宋_GB2312" w:eastAsia="仿宋_GB2312" w:cs="仿宋_GB2312"/>
              </w:rPr>
              <w:t>337*83*122~150上下楼梯组合</w:t>
            </w: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48</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四脚拐杖</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四挡高度调节72-96</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49</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74"/>
              <w:jc w:val="center"/>
              <w:rPr>
                <w:rFonts w:ascii="仿宋_GB2312" w:hAnsi="仿宋_GB2312" w:eastAsia="仿宋_GB2312" w:cs="仿宋_GB2312"/>
              </w:rPr>
            </w:pPr>
            <w:r>
              <w:rPr>
                <w:rFonts w:hint="eastAsia" w:ascii="仿宋_GB2312" w:hAnsi="仿宋_GB2312" w:eastAsia="仿宋_GB2312" w:cs="仿宋_GB2312"/>
              </w:rPr>
              <w:t>康复训练保护腰带</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可调试</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条</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3"/>
              <w:ind w:left="217"/>
              <w:jc w:val="both"/>
              <w:rPr>
                <w:rFonts w:ascii="仿宋_GB2312" w:hAnsi="仿宋_GB2312" w:eastAsia="仿宋_GB2312" w:cs="仿宋_GB2312"/>
              </w:rPr>
            </w:pPr>
            <w:r>
              <w:rPr>
                <w:rFonts w:hint="eastAsia" w:ascii="仿宋_GB2312" w:hAnsi="仿宋_GB2312" w:eastAsia="仿宋_GB2312" w:cs="仿宋_GB2312"/>
              </w:rPr>
              <w:t>50</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给药单</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300*93MM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张</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51</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开口水杯</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400ML</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盛温水</w:t>
            </w:r>
          </w:p>
        </w:tc>
      </w:tr>
      <w:tr>
        <w:tblPrEx>
          <w:tblCellMar>
            <w:top w:w="0" w:type="dxa"/>
            <w:left w:w="0" w:type="dxa"/>
            <w:bottom w:w="0" w:type="dxa"/>
            <w:right w:w="0" w:type="dxa"/>
          </w:tblCellMar>
        </w:tblPrEx>
        <w:trPr>
          <w:trHeight w:val="946"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52</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9"/>
              <w:jc w:val="center"/>
              <w:rPr>
                <w:rFonts w:ascii="仿宋_GB2312" w:hAnsi="仿宋_GB2312" w:eastAsia="仿宋_GB2312" w:cs="仿宋_GB2312"/>
              </w:rPr>
            </w:pPr>
          </w:p>
          <w:p>
            <w:pPr>
              <w:pStyle w:val="11"/>
              <w:kinsoku w:val="0"/>
              <w:overflowPunct w:val="0"/>
              <w:ind w:right="1"/>
              <w:jc w:val="center"/>
              <w:rPr>
                <w:rFonts w:ascii="仿宋_GB2312" w:hAnsi="仿宋_GB2312" w:eastAsia="仿宋_GB2312" w:cs="仿宋_GB2312"/>
              </w:rPr>
            </w:pPr>
            <w:r>
              <w:rPr>
                <w:rFonts w:hint="eastAsia" w:ascii="仿宋_GB2312" w:hAnsi="仿宋_GB2312" w:eastAsia="仿宋_GB2312" w:cs="仿宋_GB2312"/>
              </w:rPr>
              <w:t>药杯</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带盖，上口直径3.5cm，底部</w:t>
            </w:r>
          </w:p>
          <w:p>
            <w:pPr>
              <w:pStyle w:val="11"/>
              <w:kinsoku w:val="0"/>
              <w:overflowPunct w:val="0"/>
              <w:spacing w:before="29" w:line="312" w:lineRule="exact"/>
              <w:ind w:right="310"/>
              <w:jc w:val="center"/>
              <w:rPr>
                <w:rFonts w:ascii="仿宋_GB2312" w:hAnsi="仿宋_GB2312" w:eastAsia="仿宋_GB2312" w:cs="仿宋_GB2312"/>
              </w:rPr>
            </w:pPr>
            <w:r>
              <w:rPr>
                <w:rFonts w:hint="eastAsia" w:ascii="仿宋_GB2312" w:hAnsi="仿宋_GB2312" w:eastAsia="仿宋_GB2312" w:cs="仿宋_GB2312"/>
              </w:rPr>
              <w:t>直径3.2cm,高度2.5cm,约15ml</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9"/>
              <w:jc w:val="both"/>
              <w:rPr>
                <w:rFonts w:ascii="仿宋_GB2312" w:hAnsi="仿宋_GB2312" w:eastAsia="仿宋_GB2312" w:cs="仿宋_GB2312"/>
              </w:rPr>
            </w:pPr>
          </w:p>
          <w:p>
            <w:pPr>
              <w:pStyle w:val="11"/>
              <w:kinsoku w:val="0"/>
              <w:overflowPunct w:val="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9"/>
              <w:jc w:val="center"/>
              <w:rPr>
                <w:rFonts w:ascii="仿宋_GB2312" w:hAnsi="仿宋_GB2312" w:eastAsia="仿宋_GB2312" w:cs="仿宋_GB2312"/>
              </w:rPr>
            </w:pPr>
          </w:p>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634"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53</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right="1"/>
              <w:jc w:val="center"/>
              <w:rPr>
                <w:rFonts w:ascii="仿宋_GB2312" w:hAnsi="仿宋_GB2312" w:eastAsia="仿宋_GB2312" w:cs="仿宋_GB2312"/>
              </w:rPr>
            </w:pPr>
            <w:r>
              <w:rPr>
                <w:rFonts w:hint="eastAsia" w:ascii="仿宋_GB2312" w:hAnsi="仿宋_GB2312" w:eastAsia="仿宋_GB2312" w:cs="仿宋_GB2312"/>
              </w:rPr>
              <w:t>药物</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带标示小药瓶4个，带标识圆</w:t>
            </w:r>
          </w:p>
          <w:p>
            <w:pPr>
              <w:pStyle w:val="11"/>
              <w:kinsoku w:val="0"/>
              <w:overflowPunct w:val="0"/>
              <w:spacing w:line="313" w:lineRule="exact"/>
              <w:jc w:val="center"/>
              <w:rPr>
                <w:rFonts w:ascii="仿宋_GB2312" w:hAnsi="仿宋_GB2312" w:eastAsia="仿宋_GB2312" w:cs="仿宋_GB2312"/>
              </w:rPr>
            </w:pPr>
            <w:r>
              <w:rPr>
                <w:rFonts w:hint="eastAsia" w:ascii="仿宋_GB2312" w:hAnsi="仿宋_GB2312" w:eastAsia="仿宋_GB2312" w:cs="仿宋_GB2312"/>
              </w:rPr>
              <w:t>形药瓶4个</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瓶</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54</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餐巾</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34×72cm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条</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55</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餐巾纸</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3层*200抽</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包</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56</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汤匙</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20.4*4.6cm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把</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57</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音响设置</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音响模型</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台</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58</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录音机</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录音机模型</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台</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59</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超声波雾化吸入器</w:t>
            </w:r>
          </w:p>
        </w:tc>
        <w:tc>
          <w:tcPr>
            <w:tcW w:w="34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套</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60</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水温计</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常用</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bl>
    <w:p>
      <w:pPr>
        <w:ind w:firstLine="560" w:firstLineChars="200"/>
        <w:rPr>
          <w:rFonts w:asciiTheme="minorEastAsia" w:hAnsiTheme="minorEastAsia"/>
          <w:sz w:val="28"/>
          <w:szCs w:val="28"/>
        </w:rPr>
      </w:pPr>
    </w:p>
    <w:tbl>
      <w:tblPr>
        <w:tblStyle w:val="6"/>
        <w:tblW w:w="9623" w:type="dxa"/>
        <w:jc w:val="center"/>
        <w:tblLayout w:type="fixed"/>
        <w:tblCellMar>
          <w:top w:w="0" w:type="dxa"/>
          <w:left w:w="0" w:type="dxa"/>
          <w:bottom w:w="0" w:type="dxa"/>
          <w:right w:w="0" w:type="dxa"/>
        </w:tblCellMar>
      </w:tblPr>
      <w:tblGrid>
        <w:gridCol w:w="900"/>
        <w:gridCol w:w="2072"/>
        <w:gridCol w:w="3392"/>
        <w:gridCol w:w="681"/>
        <w:gridCol w:w="806"/>
        <w:gridCol w:w="1772"/>
      </w:tblGrid>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61</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锐器盒</w:t>
            </w:r>
          </w:p>
        </w:tc>
        <w:tc>
          <w:tcPr>
            <w:tcW w:w="33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62</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一次性吸氧管</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单腔/双腔</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40</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63</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扳手</w:t>
            </w:r>
          </w:p>
        </w:tc>
        <w:tc>
          <w:tcPr>
            <w:tcW w:w="33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948"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64</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7" w:lineRule="exact"/>
              <w:jc w:val="center"/>
              <w:rPr>
                <w:rFonts w:ascii="仿宋_GB2312" w:hAnsi="仿宋_GB2312" w:eastAsia="仿宋_GB2312" w:cs="仿宋_GB2312"/>
              </w:rPr>
            </w:pPr>
            <w:r>
              <w:rPr>
                <w:rFonts w:hint="eastAsia" w:ascii="仿宋_GB2312" w:hAnsi="仿宋_GB2312" w:eastAsia="仿宋_GB2312" w:cs="仿宋_GB2312"/>
              </w:rPr>
              <w:t>管道氧气装置或氧气筒及氧气压力装置</w:t>
            </w:r>
          </w:p>
        </w:tc>
        <w:tc>
          <w:tcPr>
            <w:tcW w:w="33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left="214"/>
              <w:jc w:val="both"/>
              <w:rPr>
                <w:rFonts w:ascii="仿宋_GB2312" w:hAnsi="仿宋_GB2312" w:eastAsia="仿宋_GB2312" w:cs="仿宋_GB2312"/>
              </w:rPr>
            </w:pPr>
            <w:r>
              <w:rPr>
                <w:rFonts w:hint="eastAsia" w:ascii="仿宋_GB2312" w:hAnsi="仿宋_GB2312" w:eastAsia="仿宋_GB2312" w:cs="仿宋_GB2312"/>
              </w:rPr>
              <w:t>套</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302" w:lineRule="exact"/>
              <w:jc w:val="center"/>
              <w:rPr>
                <w:rFonts w:ascii="仿宋_GB2312" w:hAnsi="仿宋_GB2312" w:eastAsia="仿宋_GB2312" w:cs="仿宋_GB2312"/>
              </w:rPr>
            </w:pPr>
            <w:r>
              <w:rPr>
                <w:rFonts w:hint="eastAsia" w:ascii="仿宋_GB2312" w:hAnsi="仿宋_GB2312" w:eastAsia="仿宋_GB2312" w:cs="仿宋_GB2312"/>
              </w:rPr>
              <w:t>2</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65</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氧气筒标识牌</w:t>
            </w:r>
          </w:p>
        </w:tc>
        <w:tc>
          <w:tcPr>
            <w:tcW w:w="33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套</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66</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小餐桌</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YU610移动餐桌</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张</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67</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餐盘</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不锈钢，直径：5.5-6.5英寸</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788"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ind w:left="217"/>
              <w:jc w:val="both"/>
              <w:rPr>
                <w:rFonts w:ascii="仿宋_GB2312" w:hAnsi="仿宋_GB2312" w:eastAsia="仿宋_GB2312" w:cs="仿宋_GB2312"/>
              </w:rPr>
            </w:pPr>
            <w:r>
              <w:rPr>
                <w:rFonts w:hint="eastAsia" w:ascii="仿宋_GB2312" w:hAnsi="仿宋_GB2312" w:eastAsia="仿宋_GB2312" w:cs="仿宋_GB2312"/>
              </w:rPr>
              <w:t>68</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餐碗</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tabs>
                <w:tab w:val="left" w:pos="2460"/>
              </w:tabs>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不锈钢，直径14.8cm</w:t>
            </w:r>
            <w:r>
              <w:rPr>
                <w:rFonts w:hint="eastAsia" w:ascii="仿宋_GB2312" w:hAnsi="仿宋_GB2312" w:eastAsia="仿宋_GB2312" w:cs="仿宋_GB2312"/>
              </w:rPr>
              <w:tab/>
            </w:r>
            <w:r>
              <w:rPr>
                <w:rFonts w:hint="eastAsia" w:ascii="仿宋_GB2312" w:hAnsi="仿宋_GB2312" w:eastAsia="仿宋_GB2312" w:cs="仿宋_GB2312"/>
              </w:rPr>
              <w:t>容量</w:t>
            </w:r>
          </w:p>
          <w:p>
            <w:pPr>
              <w:pStyle w:val="11"/>
              <w:kinsoku w:val="0"/>
              <w:overflowPunct w:val="0"/>
              <w:spacing w:line="313" w:lineRule="exact"/>
              <w:jc w:val="center"/>
              <w:rPr>
                <w:rFonts w:ascii="仿宋_GB2312" w:hAnsi="仿宋_GB2312" w:eastAsia="仿宋_GB2312" w:cs="仿宋_GB2312"/>
              </w:rPr>
            </w:pPr>
            <w:r>
              <w:rPr>
                <w:rFonts w:hint="eastAsia" w:ascii="仿宋_GB2312" w:hAnsi="仿宋_GB2312" w:eastAsia="仿宋_GB2312" w:cs="仿宋_GB2312"/>
              </w:rPr>
              <w:t>650ml（食物模型）</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内盛糊状半流</w:t>
            </w:r>
          </w:p>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质饮食</w:t>
            </w: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69</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筷子</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普通</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双</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30</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70</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浴巾</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70*140cm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条</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71</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毛巾</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34*72cm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条</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16</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72</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敷布</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58*33cm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块</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73</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量杯</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1000ml</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74</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凡士林油</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400ml</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359"/>
              <w:jc w:val="center"/>
              <w:rPr>
                <w:rFonts w:ascii="仿宋_GB2312" w:hAnsi="仿宋_GB2312" w:eastAsia="仿宋_GB2312" w:cs="仿宋_GB2312"/>
              </w:rPr>
            </w:pPr>
            <w:r>
              <w:rPr>
                <w:rFonts w:hint="eastAsia" w:ascii="仿宋_GB2312" w:hAnsi="仿宋_GB2312" w:eastAsia="仿宋_GB2312" w:cs="仿宋_GB2312"/>
              </w:rPr>
              <w:t>白凡士林</w:t>
            </w: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75</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6" w:lineRule="exact"/>
              <w:jc w:val="center"/>
              <w:rPr>
                <w:rFonts w:ascii="仿宋_GB2312" w:hAnsi="仿宋_GB2312" w:eastAsia="仿宋_GB2312" w:cs="仿宋_GB2312"/>
              </w:rPr>
            </w:pPr>
            <w:r>
              <w:rPr>
                <w:rFonts w:hint="eastAsia" w:ascii="仿宋_GB2312" w:hAnsi="仿宋_GB2312" w:eastAsia="仿宋_GB2312" w:cs="仿宋_GB2312"/>
              </w:rPr>
              <w:t>塑料脸盆</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6" w:lineRule="exact"/>
              <w:jc w:val="center"/>
              <w:rPr>
                <w:rFonts w:ascii="仿宋_GB2312" w:hAnsi="仿宋_GB2312" w:eastAsia="仿宋_GB2312" w:cs="仿宋_GB2312"/>
              </w:rPr>
            </w:pPr>
            <w:r>
              <w:rPr>
                <w:rFonts w:hint="eastAsia" w:ascii="仿宋_GB2312" w:hAnsi="仿宋_GB2312" w:eastAsia="仿宋_GB2312" w:cs="仿宋_GB2312"/>
              </w:rPr>
              <w:t>蓝色，35cm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6"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300"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76</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大镊子</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jc w:val="center"/>
              <w:rPr>
                <w:rFonts w:ascii="仿宋_GB2312" w:hAnsi="仿宋_GB2312" w:eastAsia="仿宋_GB2312" w:cs="仿宋_GB2312"/>
              </w:rPr>
            </w:pPr>
            <w:r>
              <w:rPr>
                <w:rFonts w:hint="eastAsia" w:ascii="仿宋_GB2312" w:hAnsi="仿宋_GB2312" w:eastAsia="仿宋_GB2312" w:cs="仿宋_GB2312"/>
              </w:rPr>
              <w:t>26.5cm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left="214"/>
              <w:jc w:val="both"/>
              <w:rPr>
                <w:rFonts w:ascii="仿宋_GB2312" w:hAnsi="仿宋_GB2312" w:eastAsia="仿宋_GB2312" w:cs="仿宋_GB2312"/>
              </w:rPr>
            </w:pPr>
            <w:r>
              <w:rPr>
                <w:rFonts w:hint="eastAsia" w:ascii="仿宋_GB2312" w:hAnsi="仿宋_GB2312" w:eastAsia="仿宋_GB2312" w:cs="仿宋_GB2312"/>
              </w:rPr>
              <w:t>把</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302" w:lineRule="exact"/>
              <w:jc w:val="center"/>
              <w:rPr>
                <w:rFonts w:ascii="仿宋_GB2312" w:hAnsi="仿宋_GB2312" w:eastAsia="仿宋_GB2312" w:cs="仿宋_GB2312"/>
              </w:rPr>
            </w:pPr>
            <w:r>
              <w:rPr>
                <w:rFonts w:hint="eastAsia" w:ascii="仿宋_GB2312" w:hAnsi="仿宋_GB2312" w:eastAsia="仿宋_GB2312" w:cs="仿宋_GB2312"/>
              </w:rPr>
              <w:t>8</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77</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床单</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150*260cm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床</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78</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扫床刷</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5*20cm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w:t>
            </w:r>
          </w:p>
        </w:tc>
        <w:tc>
          <w:tcPr>
            <w:tcW w:w="17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07"/>
              <w:jc w:val="center"/>
              <w:rPr>
                <w:rFonts w:ascii="仿宋_GB2312" w:hAnsi="仿宋_GB2312" w:eastAsia="仿宋_GB2312" w:cs="仿宋_GB2312"/>
              </w:rPr>
            </w:pPr>
            <w:r>
              <w:rPr>
                <w:rFonts w:hint="eastAsia" w:ascii="仿宋_GB2312" w:hAnsi="仿宋_GB2312" w:eastAsia="仿宋_GB2312" w:cs="仿宋_GB2312"/>
              </w:rPr>
              <w:t>把长为15cm</w:t>
            </w: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79</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医用扫床刷套</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10*25cm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80</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服药本</w:t>
            </w:r>
          </w:p>
        </w:tc>
        <w:tc>
          <w:tcPr>
            <w:tcW w:w="33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本</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10</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81</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小药卡</w:t>
            </w:r>
          </w:p>
        </w:tc>
        <w:tc>
          <w:tcPr>
            <w:tcW w:w="33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张</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03"/>
              <w:jc w:val="both"/>
              <w:rPr>
                <w:rFonts w:ascii="仿宋_GB2312" w:hAnsi="仿宋_GB2312" w:eastAsia="仿宋_GB2312" w:cs="仿宋_GB2312"/>
              </w:rPr>
            </w:pPr>
            <w:r>
              <w:rPr>
                <w:rFonts w:hint="eastAsia" w:ascii="仿宋_GB2312" w:hAnsi="仿宋_GB2312" w:eastAsia="仿宋_GB2312" w:cs="仿宋_GB2312"/>
              </w:rPr>
              <w:t>30</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82</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7" w:lineRule="exact"/>
              <w:ind w:right="1"/>
              <w:jc w:val="center"/>
              <w:rPr>
                <w:rFonts w:ascii="仿宋_GB2312" w:hAnsi="仿宋_GB2312" w:eastAsia="仿宋_GB2312" w:cs="仿宋_GB2312"/>
              </w:rPr>
            </w:pPr>
            <w:r>
              <w:rPr>
                <w:rFonts w:hint="eastAsia" w:ascii="仿宋_GB2312" w:hAnsi="仿宋_GB2312" w:eastAsia="仿宋_GB2312" w:cs="仿宋_GB2312"/>
              </w:rPr>
              <w:t>保温瓶</w:t>
            </w:r>
          </w:p>
          <w:p>
            <w:pPr>
              <w:pStyle w:val="11"/>
              <w:kinsoku w:val="0"/>
              <w:overflowPunct w:val="0"/>
              <w:spacing w:line="277" w:lineRule="exact"/>
              <w:ind w:right="1"/>
              <w:jc w:val="center"/>
              <w:rPr>
                <w:rFonts w:ascii="仿宋_GB2312" w:hAnsi="仿宋_GB2312" w:eastAsia="仿宋_GB2312" w:cs="仿宋_GB2312"/>
              </w:rPr>
            </w:pPr>
            <w:r>
              <w:rPr>
                <w:rFonts w:hint="eastAsia" w:ascii="仿宋_GB2312" w:hAnsi="仿宋_GB2312" w:eastAsia="仿宋_GB2312" w:cs="仿宋_GB2312"/>
              </w:rPr>
              <w:t>（内盛温开水）</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9"/>
              <w:jc w:val="center"/>
              <w:rPr>
                <w:rFonts w:ascii="仿宋_GB2312" w:hAnsi="仿宋_GB2312" w:eastAsia="仿宋_GB2312" w:cs="仿宋_GB2312"/>
              </w:rPr>
            </w:pPr>
            <w:r>
              <w:rPr>
                <w:rFonts w:hint="eastAsia" w:ascii="仿宋_GB2312" w:hAnsi="仿宋_GB2312" w:eastAsia="仿宋_GB2312" w:cs="仿宋_GB2312"/>
              </w:rPr>
              <w:t>1500ml</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9"/>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9"/>
              <w:jc w:val="center"/>
              <w:rPr>
                <w:rFonts w:ascii="仿宋_GB2312" w:hAnsi="仿宋_GB2312" w:eastAsia="仿宋_GB2312" w:cs="仿宋_GB2312"/>
              </w:rPr>
            </w:pPr>
            <w:r>
              <w:rPr>
                <w:rFonts w:hint="eastAsia" w:ascii="仿宋_GB2312" w:hAnsi="仿宋_GB2312" w:eastAsia="仿宋_GB2312" w:cs="仿宋_GB2312"/>
              </w:rPr>
              <w:t>2</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ind w:left="217"/>
              <w:jc w:val="both"/>
              <w:rPr>
                <w:rFonts w:ascii="仿宋_GB2312" w:hAnsi="仿宋_GB2312" w:eastAsia="仿宋_GB2312" w:cs="仿宋_GB2312"/>
              </w:rPr>
            </w:pPr>
            <w:r>
              <w:rPr>
                <w:rFonts w:hint="eastAsia" w:ascii="仿宋_GB2312" w:hAnsi="仿宋_GB2312" w:eastAsia="仿宋_GB2312" w:cs="仿宋_GB2312"/>
              </w:rPr>
              <w:t>83</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ind w:right="1"/>
              <w:jc w:val="center"/>
              <w:rPr>
                <w:rFonts w:ascii="仿宋_GB2312" w:hAnsi="仿宋_GB2312" w:eastAsia="仿宋_GB2312" w:cs="仿宋_GB2312"/>
              </w:rPr>
            </w:pPr>
            <w:r>
              <w:rPr>
                <w:rFonts w:hint="eastAsia" w:ascii="仿宋_GB2312" w:hAnsi="仿宋_GB2312" w:eastAsia="仿宋_GB2312" w:cs="仿宋_GB2312"/>
              </w:rPr>
              <w:t>输液器</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标准</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jc w:val="center"/>
              <w:rPr>
                <w:rFonts w:ascii="仿宋_GB2312" w:hAnsi="仿宋_GB2312" w:eastAsia="仿宋_GB2312" w:cs="仿宋_GB2312"/>
              </w:rPr>
            </w:pPr>
            <w:r>
              <w:rPr>
                <w:rFonts w:hint="eastAsia" w:ascii="仿宋_GB2312" w:hAnsi="仿宋_GB2312" w:eastAsia="仿宋_GB2312" w:cs="仿宋_GB2312"/>
              </w:rPr>
              <w:t>粘贴在患者手上</w:t>
            </w: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84</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护理车</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常规</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辆</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2</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85</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玩具</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标准</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盒</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86</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ind w:right="1"/>
              <w:jc w:val="center"/>
              <w:rPr>
                <w:rFonts w:ascii="仿宋_GB2312" w:hAnsi="仿宋_GB2312" w:eastAsia="仿宋_GB2312" w:cs="仿宋_GB2312"/>
              </w:rPr>
            </w:pPr>
            <w:r>
              <w:rPr>
                <w:rFonts w:hint="eastAsia" w:ascii="仿宋_GB2312" w:hAnsi="仿宋_GB2312" w:eastAsia="仿宋_GB2312" w:cs="仿宋_GB2312"/>
              </w:rPr>
              <w:t>认知卡</w:t>
            </w:r>
            <w:r>
              <w:rPr>
                <w:rFonts w:hint="eastAsia" w:ascii="仿宋_GB2312" w:hAnsi="仿宋_GB2312" w:eastAsia="仿宋_GB2312" w:cs="仿宋_GB2312"/>
                <w:spacing w:val="-48"/>
              </w:rPr>
              <w:t>片</w:t>
            </w:r>
            <w:r>
              <w:rPr>
                <w:rFonts w:hint="eastAsia" w:ascii="仿宋_GB2312" w:hAnsi="仿宋_GB2312" w:eastAsia="仿宋_GB2312" w:cs="仿宋_GB2312"/>
              </w:rPr>
              <w:t>（数</w:t>
            </w:r>
            <w:r>
              <w:rPr>
                <w:rFonts w:hint="eastAsia" w:ascii="仿宋_GB2312" w:hAnsi="仿宋_GB2312" w:eastAsia="仿宋_GB2312" w:cs="仿宋_GB2312"/>
                <w:spacing w:val="-24"/>
              </w:rPr>
              <w:t>字、</w:t>
            </w:r>
            <w:r>
              <w:rPr>
                <w:rFonts w:hint="eastAsia" w:ascii="仿宋_GB2312" w:hAnsi="仿宋_GB2312" w:eastAsia="仿宋_GB2312" w:cs="仿宋_GB2312"/>
              </w:rPr>
              <w:t>植</w:t>
            </w:r>
          </w:p>
          <w:p>
            <w:pPr>
              <w:pStyle w:val="11"/>
              <w:kinsoku w:val="0"/>
              <w:overflowPunct w:val="0"/>
              <w:spacing w:line="313" w:lineRule="exact"/>
              <w:ind w:right="1"/>
              <w:jc w:val="center"/>
              <w:rPr>
                <w:rFonts w:ascii="仿宋_GB2312" w:hAnsi="仿宋_GB2312" w:eastAsia="仿宋_GB2312" w:cs="仿宋_GB2312"/>
              </w:rPr>
            </w:pPr>
            <w:r>
              <w:rPr>
                <w:rFonts w:hint="eastAsia" w:ascii="仿宋_GB2312" w:hAnsi="仿宋_GB2312" w:eastAsia="仿宋_GB2312" w:cs="仿宋_GB2312"/>
              </w:rPr>
              <w:t>物、动物卡片）</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标准</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盒</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1</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87</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65"/>
              <w:jc w:val="center"/>
              <w:rPr>
                <w:rFonts w:ascii="仿宋_GB2312" w:hAnsi="仿宋_GB2312" w:eastAsia="仿宋_GB2312" w:cs="仿宋_GB2312"/>
              </w:rPr>
            </w:pPr>
            <w:r>
              <w:rPr>
                <w:rFonts w:hint="eastAsia" w:ascii="仿宋_GB2312" w:hAnsi="仿宋_GB2312" w:eastAsia="仿宋_GB2312" w:cs="仿宋_GB2312"/>
              </w:rPr>
              <w:t>人民币（硬币）</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65"/>
              <w:jc w:val="center"/>
              <w:rPr>
                <w:rFonts w:ascii="仿宋_GB2312" w:hAnsi="仿宋_GB2312" w:eastAsia="仿宋_GB2312" w:cs="仿宋_GB2312"/>
              </w:rPr>
            </w:pPr>
            <w:r>
              <w:rPr>
                <w:rFonts w:hint="eastAsia" w:ascii="仿宋_GB2312" w:hAnsi="仿宋_GB2312" w:eastAsia="仿宋_GB2312" w:cs="仿宋_GB2312"/>
              </w:rPr>
              <w:t>1角、5角、1元</w:t>
            </w:r>
          </w:p>
        </w:tc>
        <w:tc>
          <w:tcPr>
            <w:tcW w:w="681"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rPr>
            </w:pP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若干</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88</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一次性中单</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120*80</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块</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50</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89</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镜子</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单面装饰镜长宽约20cm*30cm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90</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654"/>
              <w:jc w:val="center"/>
              <w:rPr>
                <w:rFonts w:ascii="仿宋_GB2312" w:hAnsi="仿宋_GB2312" w:eastAsia="仿宋_GB2312" w:cs="仿宋_GB2312"/>
              </w:rPr>
            </w:pPr>
            <w:r>
              <w:rPr>
                <w:rFonts w:hint="eastAsia" w:ascii="仿宋_GB2312" w:hAnsi="仿宋_GB2312" w:eastAsia="仿宋_GB2312" w:cs="仿宋_GB2312"/>
              </w:rPr>
              <w:t>单词卡片</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45张/盒</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盒</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91</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ind w:right="1"/>
              <w:jc w:val="center"/>
              <w:rPr>
                <w:rFonts w:ascii="仿宋_GB2312" w:hAnsi="仿宋_GB2312" w:eastAsia="仿宋_GB2312" w:cs="仿宋_GB2312"/>
              </w:rPr>
            </w:pPr>
            <w:r>
              <w:rPr>
                <w:rFonts w:hint="eastAsia" w:ascii="仿宋_GB2312" w:hAnsi="仿宋_GB2312" w:eastAsia="仿宋_GB2312" w:cs="仿宋_GB2312"/>
              </w:rPr>
              <w:t>图卡片及与文字配</w:t>
            </w:r>
          </w:p>
          <w:p>
            <w:pPr>
              <w:pStyle w:val="11"/>
              <w:kinsoku w:val="0"/>
              <w:overflowPunct w:val="0"/>
              <w:spacing w:line="313" w:lineRule="exact"/>
              <w:ind w:right="1"/>
              <w:jc w:val="center"/>
              <w:rPr>
                <w:rFonts w:ascii="仿宋_GB2312" w:hAnsi="仿宋_GB2312" w:eastAsia="仿宋_GB2312" w:cs="仿宋_GB2312"/>
              </w:rPr>
            </w:pPr>
            <w:r>
              <w:rPr>
                <w:rFonts w:hint="eastAsia" w:ascii="仿宋_GB2312" w:hAnsi="仿宋_GB2312" w:eastAsia="仿宋_GB2312" w:cs="仿宋_GB2312"/>
              </w:rPr>
              <w:t>套的实物</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10张/盒</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套</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8</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92</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软垫</w:t>
            </w:r>
          </w:p>
        </w:tc>
        <w:tc>
          <w:tcPr>
            <w:tcW w:w="33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ind w:left="217"/>
              <w:jc w:val="both"/>
              <w:rPr>
                <w:rFonts w:ascii="仿宋_GB2312" w:hAnsi="仿宋_GB2312" w:eastAsia="仿宋_GB2312" w:cs="仿宋_GB2312"/>
              </w:rPr>
            </w:pPr>
            <w:r>
              <w:rPr>
                <w:rFonts w:hint="eastAsia" w:ascii="仿宋_GB2312" w:hAnsi="仿宋_GB2312" w:eastAsia="仿宋_GB2312" w:cs="仿宋_GB2312"/>
              </w:rPr>
              <w:t>93</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ind w:right="1"/>
              <w:jc w:val="center"/>
              <w:rPr>
                <w:rFonts w:ascii="仿宋_GB2312" w:hAnsi="仿宋_GB2312" w:eastAsia="仿宋_GB2312" w:cs="仿宋_GB2312"/>
              </w:rPr>
            </w:pPr>
            <w:r>
              <w:rPr>
                <w:rFonts w:hint="eastAsia" w:ascii="仿宋_GB2312" w:hAnsi="仿宋_GB2312" w:eastAsia="仿宋_GB2312" w:cs="仿宋_GB2312"/>
              </w:rPr>
              <w:t>脸盆</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jc w:val="center"/>
              <w:rPr>
                <w:rFonts w:ascii="仿宋_GB2312" w:hAnsi="仿宋_GB2312" w:eastAsia="仿宋_GB2312" w:cs="仿宋_GB2312"/>
              </w:rPr>
            </w:pPr>
            <w:r>
              <w:rPr>
                <w:rFonts w:hint="eastAsia" w:ascii="仿宋_GB2312" w:hAnsi="仿宋_GB2312" w:eastAsia="仿宋_GB2312" w:cs="仿宋_GB2312"/>
              </w:rPr>
              <w:t>内径31cm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jc w:val="center"/>
              <w:rPr>
                <w:rFonts w:ascii="仿宋_GB2312" w:hAnsi="仿宋_GB2312" w:eastAsia="仿宋_GB2312" w:cs="仿宋_GB2312"/>
              </w:rPr>
            </w:pPr>
            <w:r>
              <w:rPr>
                <w:rFonts w:hint="eastAsia" w:ascii="仿宋_GB2312" w:hAnsi="仿宋_GB2312" w:eastAsia="仿宋_GB2312" w:cs="仿宋_GB2312"/>
              </w:rPr>
              <w:t>8</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94</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02"/>
              <w:jc w:val="center"/>
              <w:rPr>
                <w:rFonts w:ascii="仿宋_GB2312" w:hAnsi="仿宋_GB2312" w:eastAsia="仿宋_GB2312" w:cs="仿宋_GB2312"/>
              </w:rPr>
            </w:pPr>
            <w:r>
              <w:rPr>
                <w:rFonts w:hint="eastAsia" w:ascii="仿宋_GB2312" w:hAnsi="仿宋_GB2312" w:eastAsia="仿宋_GB2312" w:cs="仿宋_GB2312"/>
              </w:rPr>
              <w:t>滴耳液（氧氟沙星）</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5毫升</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瓶</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95</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消毒干棉球</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90粒/瓶*3</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瓶</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96</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污物杯</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350ml</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03"/>
              <w:jc w:val="center"/>
              <w:rPr>
                <w:rFonts w:ascii="仿宋_GB2312" w:hAnsi="仿宋_GB2312" w:eastAsia="仿宋_GB2312" w:cs="仿宋_GB2312"/>
              </w:rPr>
            </w:pPr>
            <w:r>
              <w:rPr>
                <w:rFonts w:hint="eastAsia" w:ascii="仿宋_GB2312" w:hAnsi="仿宋_GB2312" w:eastAsia="仿宋_GB2312" w:cs="仿宋_GB2312"/>
              </w:rPr>
              <w:t>12</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97</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清洁体温计存放盒</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370mm*275*100mm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98</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体温计消毒盒</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750ml</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8</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99</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腋温计</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水银，23mm*142mm*12mm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支</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100</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烫伤膏</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20g</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支</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3"/>
              <w:ind w:left="157"/>
              <w:jc w:val="both"/>
              <w:rPr>
                <w:rFonts w:ascii="仿宋_GB2312" w:hAnsi="仿宋_GB2312" w:eastAsia="仿宋_GB2312" w:cs="仿宋_GB2312"/>
              </w:rPr>
            </w:pPr>
            <w:r>
              <w:rPr>
                <w:rFonts w:hint="eastAsia" w:ascii="仿宋_GB2312" w:hAnsi="仿宋_GB2312" w:eastAsia="仿宋_GB2312" w:cs="仿宋_GB2312"/>
              </w:rPr>
              <w:t>101</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方凳</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34.2*24*42cm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102</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固定电话</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普通</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2</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103</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靠背垫</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40*40</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类似沙发靠垫</w:t>
            </w: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104</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带盖水杯</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200-300ml</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105</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餐碗（盛米粥）</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tabs>
                <w:tab w:val="left" w:pos="2460"/>
              </w:tabs>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不锈钢，直径14.8cm</w:t>
            </w:r>
            <w:r>
              <w:rPr>
                <w:rFonts w:hint="eastAsia" w:ascii="仿宋_GB2312" w:hAnsi="仿宋_GB2312" w:eastAsia="仿宋_GB2312" w:cs="仿宋_GB2312"/>
              </w:rPr>
              <w:tab/>
            </w:r>
            <w:r>
              <w:rPr>
                <w:rFonts w:hint="eastAsia" w:ascii="仿宋_GB2312" w:hAnsi="仿宋_GB2312" w:eastAsia="仿宋_GB2312" w:cs="仿宋_GB2312"/>
              </w:rPr>
              <w:t>容量</w:t>
            </w:r>
          </w:p>
          <w:p>
            <w:pPr>
              <w:pStyle w:val="11"/>
              <w:kinsoku w:val="0"/>
              <w:overflowPunct w:val="0"/>
              <w:spacing w:line="313" w:lineRule="exact"/>
              <w:jc w:val="center"/>
              <w:rPr>
                <w:rFonts w:ascii="仿宋_GB2312" w:hAnsi="仿宋_GB2312" w:eastAsia="仿宋_GB2312" w:cs="仿宋_GB2312"/>
              </w:rPr>
            </w:pPr>
            <w:r>
              <w:rPr>
                <w:rFonts w:hint="eastAsia" w:ascii="仿宋_GB2312" w:hAnsi="仿宋_GB2312" w:eastAsia="仿宋_GB2312" w:cs="仿宋_GB2312"/>
              </w:rPr>
              <w:t>650ml（食物模型）</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9"/>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106</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真馒头</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普通</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157"/>
              <w:jc w:val="both"/>
              <w:rPr>
                <w:rFonts w:ascii="仿宋_GB2312" w:hAnsi="仿宋_GB2312" w:eastAsia="仿宋_GB2312" w:cs="仿宋_GB2312"/>
              </w:rPr>
            </w:pPr>
            <w:r>
              <w:rPr>
                <w:rFonts w:hint="eastAsia" w:ascii="仿宋_GB2312" w:hAnsi="仿宋_GB2312" w:eastAsia="仿宋_GB2312" w:cs="仿宋_GB2312"/>
              </w:rPr>
              <w:t>107</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穿衣镜</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jc w:val="center"/>
              <w:rPr>
                <w:rFonts w:ascii="仿宋_GB2312" w:hAnsi="仿宋_GB2312" w:eastAsia="仿宋_GB2312" w:cs="仿宋_GB2312"/>
              </w:rPr>
            </w:pPr>
            <w:r>
              <w:rPr>
                <w:rFonts w:hint="eastAsia" w:ascii="仿宋_GB2312" w:hAnsi="仿宋_GB2312" w:eastAsia="仿宋_GB2312" w:cs="仿宋_GB2312"/>
              </w:rPr>
              <w:t>高：2米，穿：0.8米</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302" w:lineRule="exact"/>
              <w:jc w:val="center"/>
              <w:rPr>
                <w:rFonts w:ascii="仿宋_GB2312" w:hAnsi="仿宋_GB2312" w:eastAsia="仿宋_GB2312" w:cs="仿宋_GB2312"/>
              </w:rPr>
            </w:pPr>
            <w:r>
              <w:rPr>
                <w:rFonts w:hint="eastAsia" w:ascii="仿宋_GB2312" w:hAnsi="仿宋_GB2312" w:eastAsia="仿宋_GB2312" w:cs="仿宋_GB2312"/>
              </w:rPr>
              <w:t>2</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108</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简易角度尺</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普通</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109</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床旁靠背椅</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家用</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张</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1</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110</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一次性注射器</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30-50ml</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支</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03"/>
              <w:jc w:val="both"/>
              <w:rPr>
                <w:rFonts w:ascii="仿宋_GB2312" w:hAnsi="仿宋_GB2312" w:eastAsia="仿宋_GB2312" w:cs="仿宋_GB2312"/>
              </w:rPr>
            </w:pPr>
            <w:r>
              <w:rPr>
                <w:rFonts w:hint="eastAsia" w:ascii="仿宋_GB2312" w:hAnsi="仿宋_GB2312" w:eastAsia="仿宋_GB2312" w:cs="仿宋_GB2312"/>
              </w:rPr>
              <w:t>20</w:t>
            </w:r>
          </w:p>
        </w:tc>
        <w:tc>
          <w:tcPr>
            <w:tcW w:w="1772"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111</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right="1"/>
              <w:jc w:val="center"/>
              <w:rPr>
                <w:rFonts w:ascii="仿宋_GB2312" w:hAnsi="仿宋_GB2312" w:eastAsia="仿宋_GB2312" w:cs="仿宋_GB2312"/>
              </w:rPr>
            </w:pPr>
            <w:r>
              <w:rPr>
                <w:rFonts w:hint="eastAsia" w:ascii="仿宋_GB2312" w:hAnsi="仿宋_GB2312" w:eastAsia="仿宋_GB2312" w:cs="仿宋_GB2312"/>
              </w:rPr>
              <w:t>治疗碗</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spacing w:val="55"/>
              </w:rPr>
              <w:t>不</w:t>
            </w:r>
            <w:r>
              <w:rPr>
                <w:rFonts w:hint="eastAsia" w:ascii="仿宋_GB2312" w:hAnsi="仿宋_GB2312" w:eastAsia="仿宋_GB2312" w:cs="仿宋_GB2312"/>
              </w:rPr>
              <w:t>锈钢14-16cm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9"/>
              <w:ind w:left="203"/>
              <w:jc w:val="both"/>
              <w:rPr>
                <w:rFonts w:ascii="仿宋_GB2312" w:hAnsi="仿宋_GB2312" w:eastAsia="仿宋_GB2312" w:cs="仿宋_GB2312"/>
              </w:rPr>
            </w:pPr>
            <w:r>
              <w:rPr>
                <w:rFonts w:hint="eastAsia" w:ascii="仿宋_GB2312" w:hAnsi="仿宋_GB2312" w:eastAsia="仿宋_GB2312" w:cs="仿宋_GB2312"/>
              </w:rPr>
              <w:t>20</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112</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12色彩笔</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55"/>
              <w:jc w:val="center"/>
              <w:rPr>
                <w:rFonts w:ascii="仿宋_GB2312" w:hAnsi="仿宋_GB2312" w:eastAsia="仿宋_GB2312" w:cs="仿宋_GB2312"/>
              </w:rPr>
            </w:pPr>
            <w:r>
              <w:rPr>
                <w:rFonts w:hint="eastAsia" w:ascii="仿宋_GB2312" w:hAnsi="仿宋_GB2312" w:eastAsia="仿宋_GB2312" w:cs="仿宋_GB2312"/>
              </w:rPr>
              <w:t>盒</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盒</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03"/>
              <w:jc w:val="both"/>
              <w:rPr>
                <w:rFonts w:ascii="仿宋_GB2312" w:hAnsi="仿宋_GB2312" w:eastAsia="仿宋_GB2312" w:cs="仿宋_GB2312"/>
              </w:rPr>
            </w:pPr>
            <w:r>
              <w:rPr>
                <w:rFonts w:hint="eastAsia" w:ascii="仿宋_GB2312" w:hAnsi="仿宋_GB2312" w:eastAsia="仿宋_GB2312" w:cs="仿宋_GB2312"/>
              </w:rPr>
              <w:t>30</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bl>
    <w:p>
      <w:pPr>
        <w:ind w:firstLine="560" w:firstLineChars="200"/>
        <w:rPr>
          <w:rFonts w:asciiTheme="minorEastAsia" w:hAnsiTheme="minorEastAsia"/>
          <w:sz w:val="28"/>
          <w:szCs w:val="28"/>
        </w:rPr>
      </w:pPr>
    </w:p>
    <w:tbl>
      <w:tblPr>
        <w:tblStyle w:val="6"/>
        <w:tblW w:w="9639" w:type="dxa"/>
        <w:jc w:val="center"/>
        <w:tblLayout w:type="fixed"/>
        <w:tblCellMar>
          <w:top w:w="0" w:type="dxa"/>
          <w:left w:w="0" w:type="dxa"/>
          <w:bottom w:w="0" w:type="dxa"/>
          <w:right w:w="0" w:type="dxa"/>
        </w:tblCellMar>
      </w:tblPr>
      <w:tblGrid>
        <w:gridCol w:w="909"/>
        <w:gridCol w:w="2047"/>
        <w:gridCol w:w="3460"/>
        <w:gridCol w:w="683"/>
        <w:gridCol w:w="729"/>
        <w:gridCol w:w="1811"/>
      </w:tblGrid>
      <w:tr>
        <w:tblPrEx>
          <w:tblCellMar>
            <w:top w:w="0" w:type="dxa"/>
            <w:left w:w="0" w:type="dxa"/>
            <w:bottom w:w="0" w:type="dxa"/>
            <w:right w:w="0" w:type="dxa"/>
          </w:tblCellMar>
        </w:tblPrEx>
        <w:trPr>
          <w:trHeight w:val="567" w:hRule="exact"/>
          <w:jc w:val="center"/>
        </w:trPr>
        <w:tc>
          <w:tcPr>
            <w:tcW w:w="909"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113</w:t>
            </w:r>
          </w:p>
        </w:tc>
        <w:tc>
          <w:tcPr>
            <w:tcW w:w="204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17"/>
              <w:ind w:right="1"/>
              <w:jc w:val="center"/>
              <w:rPr>
                <w:rFonts w:ascii="仿宋_GB2312" w:hAnsi="仿宋_GB2312" w:eastAsia="仿宋_GB2312" w:cs="仿宋_GB2312"/>
              </w:rPr>
            </w:pPr>
            <w:r>
              <w:rPr>
                <w:rFonts w:hint="eastAsia" w:ascii="仿宋_GB2312" w:hAnsi="仿宋_GB2312" w:eastAsia="仿宋_GB2312" w:cs="仿宋_GB2312"/>
              </w:rPr>
              <w:t>海报纸</w:t>
            </w:r>
          </w:p>
        </w:tc>
        <w:tc>
          <w:tcPr>
            <w:tcW w:w="346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ind w:right="155"/>
              <w:jc w:val="center"/>
              <w:rPr>
                <w:rFonts w:ascii="仿宋_GB2312" w:hAnsi="仿宋_GB2312" w:eastAsia="仿宋_GB2312" w:cs="仿宋_GB2312"/>
              </w:rPr>
            </w:pPr>
            <w:r>
              <w:rPr>
                <w:rFonts w:hint="eastAsia" w:ascii="仿宋_GB2312" w:hAnsi="仿宋_GB2312" w:eastAsia="仿宋_GB2312" w:cs="仿宋_GB2312"/>
              </w:rPr>
              <w:t>57*86cm</w:t>
            </w:r>
          </w:p>
        </w:tc>
        <w:tc>
          <w:tcPr>
            <w:tcW w:w="683"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张</w:t>
            </w:r>
          </w:p>
        </w:tc>
        <w:tc>
          <w:tcPr>
            <w:tcW w:w="729"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17"/>
              <w:ind w:left="203"/>
              <w:jc w:val="both"/>
              <w:rPr>
                <w:rFonts w:ascii="仿宋_GB2312" w:hAnsi="仿宋_GB2312" w:eastAsia="仿宋_GB2312" w:cs="仿宋_GB2312"/>
              </w:rPr>
            </w:pPr>
            <w:r>
              <w:rPr>
                <w:rFonts w:hint="eastAsia" w:ascii="仿宋_GB2312" w:hAnsi="仿宋_GB2312" w:eastAsia="仿宋_GB2312" w:cs="仿宋_GB2312"/>
              </w:rPr>
              <w:t>60</w:t>
            </w:r>
          </w:p>
        </w:tc>
        <w:tc>
          <w:tcPr>
            <w:tcW w:w="1811"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rPr>
            </w:pPr>
          </w:p>
        </w:tc>
      </w:tr>
      <w:tr>
        <w:tblPrEx>
          <w:tblCellMar>
            <w:top w:w="0" w:type="dxa"/>
            <w:left w:w="0" w:type="dxa"/>
            <w:bottom w:w="0" w:type="dxa"/>
            <w:right w:w="0" w:type="dxa"/>
          </w:tblCellMar>
        </w:tblPrEx>
        <w:trPr>
          <w:trHeight w:val="567" w:hRule="exact"/>
          <w:jc w:val="center"/>
        </w:trPr>
        <w:tc>
          <w:tcPr>
            <w:tcW w:w="909"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114</w:t>
            </w:r>
          </w:p>
        </w:tc>
        <w:tc>
          <w:tcPr>
            <w:tcW w:w="204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17"/>
              <w:ind w:right="1"/>
              <w:jc w:val="center"/>
              <w:rPr>
                <w:rFonts w:ascii="仿宋_GB2312" w:hAnsi="仿宋_GB2312" w:eastAsia="仿宋_GB2312" w:cs="仿宋_GB2312"/>
              </w:rPr>
            </w:pPr>
            <w:r>
              <w:rPr>
                <w:rFonts w:hint="eastAsia" w:ascii="仿宋_GB2312" w:hAnsi="仿宋_GB2312" w:eastAsia="仿宋_GB2312" w:cs="仿宋_GB2312"/>
              </w:rPr>
              <w:t>沙发</w:t>
            </w:r>
          </w:p>
        </w:tc>
        <w:tc>
          <w:tcPr>
            <w:tcW w:w="346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单人沙发</w:t>
            </w:r>
          </w:p>
        </w:tc>
        <w:tc>
          <w:tcPr>
            <w:tcW w:w="683"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组</w:t>
            </w:r>
          </w:p>
        </w:tc>
        <w:tc>
          <w:tcPr>
            <w:tcW w:w="729"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19"/>
              <w:jc w:val="center"/>
              <w:rPr>
                <w:rFonts w:ascii="仿宋_GB2312" w:hAnsi="仿宋_GB2312" w:eastAsia="仿宋_GB2312" w:cs="仿宋_GB2312"/>
              </w:rPr>
            </w:pPr>
            <w:r>
              <w:rPr>
                <w:rFonts w:hint="eastAsia" w:ascii="仿宋_GB2312" w:hAnsi="仿宋_GB2312" w:eastAsia="仿宋_GB2312" w:cs="仿宋_GB2312"/>
              </w:rPr>
              <w:t>2</w:t>
            </w:r>
          </w:p>
        </w:tc>
        <w:tc>
          <w:tcPr>
            <w:tcW w:w="1811"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rPr>
            </w:pPr>
          </w:p>
        </w:tc>
      </w:tr>
      <w:tr>
        <w:tblPrEx>
          <w:tblCellMar>
            <w:top w:w="0" w:type="dxa"/>
            <w:left w:w="0" w:type="dxa"/>
            <w:bottom w:w="0" w:type="dxa"/>
            <w:right w:w="0" w:type="dxa"/>
          </w:tblCellMar>
        </w:tblPrEx>
        <w:trPr>
          <w:trHeight w:val="567" w:hRule="exact"/>
          <w:jc w:val="center"/>
        </w:trPr>
        <w:tc>
          <w:tcPr>
            <w:tcW w:w="909"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115</w:t>
            </w:r>
          </w:p>
        </w:tc>
        <w:tc>
          <w:tcPr>
            <w:tcW w:w="204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17"/>
              <w:ind w:right="1"/>
              <w:jc w:val="center"/>
              <w:rPr>
                <w:rFonts w:ascii="仿宋_GB2312" w:hAnsi="仿宋_GB2312" w:eastAsia="仿宋_GB2312" w:cs="仿宋_GB2312"/>
              </w:rPr>
            </w:pPr>
            <w:r>
              <w:rPr>
                <w:rFonts w:hint="eastAsia" w:ascii="仿宋_GB2312" w:hAnsi="仿宋_GB2312" w:eastAsia="仿宋_GB2312" w:cs="仿宋_GB2312"/>
              </w:rPr>
              <w:t>圆桌</w:t>
            </w:r>
          </w:p>
        </w:tc>
        <w:tc>
          <w:tcPr>
            <w:tcW w:w="346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ind w:right="155"/>
              <w:jc w:val="center"/>
              <w:rPr>
                <w:rFonts w:ascii="仿宋_GB2312" w:hAnsi="仿宋_GB2312" w:eastAsia="仿宋_GB2312" w:cs="仿宋_GB2312"/>
              </w:rPr>
            </w:pPr>
            <w:r>
              <w:rPr>
                <w:rFonts w:hint="eastAsia" w:ascii="仿宋_GB2312" w:hAnsi="仿宋_GB2312" w:eastAsia="仿宋_GB2312" w:cs="仿宋_GB2312"/>
              </w:rPr>
              <w:t>60cm直径</w:t>
            </w:r>
          </w:p>
        </w:tc>
        <w:tc>
          <w:tcPr>
            <w:tcW w:w="683"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张</w:t>
            </w:r>
          </w:p>
        </w:tc>
        <w:tc>
          <w:tcPr>
            <w:tcW w:w="729"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19"/>
              <w:jc w:val="center"/>
              <w:rPr>
                <w:rFonts w:ascii="仿宋_GB2312" w:hAnsi="仿宋_GB2312" w:eastAsia="仿宋_GB2312" w:cs="仿宋_GB2312"/>
              </w:rPr>
            </w:pPr>
            <w:r>
              <w:rPr>
                <w:rFonts w:hint="eastAsia" w:ascii="仿宋_GB2312" w:hAnsi="仿宋_GB2312" w:eastAsia="仿宋_GB2312" w:cs="仿宋_GB2312"/>
              </w:rPr>
              <w:t>2</w:t>
            </w:r>
          </w:p>
        </w:tc>
        <w:tc>
          <w:tcPr>
            <w:tcW w:w="1811"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rPr>
            </w:pPr>
          </w:p>
        </w:tc>
      </w:tr>
      <w:tr>
        <w:tblPrEx>
          <w:tblCellMar>
            <w:top w:w="0" w:type="dxa"/>
            <w:left w:w="0" w:type="dxa"/>
            <w:bottom w:w="0" w:type="dxa"/>
            <w:right w:w="0" w:type="dxa"/>
          </w:tblCellMar>
        </w:tblPrEx>
        <w:trPr>
          <w:trHeight w:val="567" w:hRule="exac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157"/>
              <w:jc w:val="both"/>
              <w:rPr>
                <w:rFonts w:ascii="仿宋_GB2312" w:hAnsi="仿宋_GB2312" w:eastAsia="仿宋_GB2312" w:cs="仿宋_GB2312"/>
              </w:rPr>
            </w:pPr>
            <w:r>
              <w:rPr>
                <w:rFonts w:hint="eastAsia" w:ascii="仿宋_GB2312" w:hAnsi="仿宋_GB2312" w:eastAsia="仿宋_GB2312" w:cs="仿宋_GB2312"/>
              </w:rPr>
              <w:t>116</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9"/>
              <w:ind w:right="1"/>
              <w:jc w:val="center"/>
              <w:rPr>
                <w:rFonts w:ascii="仿宋_GB2312" w:hAnsi="仿宋_GB2312" w:eastAsia="仿宋_GB2312" w:cs="仿宋_GB2312"/>
              </w:rPr>
            </w:pPr>
            <w:r>
              <w:rPr>
                <w:rFonts w:hint="eastAsia" w:ascii="仿宋_GB2312" w:hAnsi="仿宋_GB2312" w:eastAsia="仿宋_GB2312" w:cs="仿宋_GB2312"/>
              </w:rPr>
              <w:t>桌布</w:t>
            </w:r>
          </w:p>
        </w:tc>
        <w:tc>
          <w:tcPr>
            <w:tcW w:w="346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7" w:lineRule="exact"/>
              <w:jc w:val="center"/>
              <w:rPr>
                <w:rFonts w:ascii="仿宋_GB2312" w:hAnsi="仿宋_GB2312" w:eastAsia="仿宋_GB2312" w:cs="仿宋_GB2312"/>
              </w:rPr>
            </w:pPr>
            <w:r>
              <w:rPr>
                <w:rFonts w:hint="eastAsia" w:ascii="仿宋_GB2312" w:hAnsi="仿宋_GB2312" w:eastAsia="仿宋_GB2312" w:cs="仿宋_GB2312"/>
              </w:rPr>
              <w:t>圆形</w:t>
            </w:r>
          </w:p>
        </w:tc>
        <w:tc>
          <w:tcPr>
            <w:tcW w:w="68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9"/>
              <w:ind w:left="214"/>
              <w:jc w:val="both"/>
              <w:rPr>
                <w:rFonts w:ascii="仿宋_GB2312" w:hAnsi="仿宋_GB2312" w:eastAsia="仿宋_GB2312" w:cs="仿宋_GB2312"/>
              </w:rPr>
            </w:pPr>
            <w:r>
              <w:rPr>
                <w:rFonts w:hint="eastAsia" w:ascii="仿宋_GB2312" w:hAnsi="仿宋_GB2312" w:eastAsia="仿宋_GB2312" w:cs="仿宋_GB2312"/>
              </w:rPr>
              <w:t>条</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9"/>
              <w:jc w:val="center"/>
              <w:rPr>
                <w:rFonts w:ascii="仿宋_GB2312" w:hAnsi="仿宋_GB2312" w:eastAsia="仿宋_GB2312" w:cs="仿宋_GB2312"/>
              </w:rPr>
            </w:pPr>
            <w:r>
              <w:rPr>
                <w:rFonts w:hint="eastAsia" w:ascii="仿宋_GB2312" w:hAnsi="仿宋_GB2312" w:eastAsia="仿宋_GB2312" w:cs="仿宋_GB2312"/>
              </w:rPr>
              <w:t>2</w:t>
            </w:r>
          </w:p>
        </w:tc>
        <w:tc>
          <w:tcPr>
            <w:tcW w:w="18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117</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right="1"/>
              <w:jc w:val="center"/>
              <w:rPr>
                <w:rFonts w:ascii="仿宋_GB2312" w:hAnsi="仿宋_GB2312" w:eastAsia="仿宋_GB2312" w:cs="仿宋_GB2312"/>
              </w:rPr>
            </w:pPr>
            <w:r>
              <w:rPr>
                <w:rFonts w:hint="eastAsia" w:ascii="仿宋_GB2312" w:hAnsi="仿宋_GB2312" w:eastAsia="仿宋_GB2312" w:cs="仿宋_GB2312"/>
              </w:rPr>
              <w:t>花</w:t>
            </w:r>
          </w:p>
        </w:tc>
        <w:tc>
          <w:tcPr>
            <w:tcW w:w="346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塑料</w:t>
            </w:r>
          </w:p>
        </w:tc>
        <w:tc>
          <w:tcPr>
            <w:tcW w:w="68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束</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2</w:t>
            </w:r>
          </w:p>
        </w:tc>
        <w:tc>
          <w:tcPr>
            <w:tcW w:w="18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118</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right="1"/>
              <w:jc w:val="center"/>
              <w:rPr>
                <w:rFonts w:ascii="仿宋_GB2312" w:hAnsi="仿宋_GB2312" w:eastAsia="仿宋_GB2312" w:cs="仿宋_GB2312"/>
              </w:rPr>
            </w:pPr>
            <w:r>
              <w:rPr>
                <w:rFonts w:hint="eastAsia" w:ascii="仿宋_GB2312" w:hAnsi="仿宋_GB2312" w:eastAsia="仿宋_GB2312" w:cs="仿宋_GB2312"/>
              </w:rPr>
              <w:t>花瓶</w:t>
            </w:r>
          </w:p>
        </w:tc>
        <w:tc>
          <w:tcPr>
            <w:tcW w:w="346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普通</w:t>
            </w:r>
          </w:p>
        </w:tc>
        <w:tc>
          <w:tcPr>
            <w:tcW w:w="68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2</w:t>
            </w:r>
          </w:p>
        </w:tc>
        <w:tc>
          <w:tcPr>
            <w:tcW w:w="18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567" w:hRule="exac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ind w:left="157"/>
              <w:jc w:val="both"/>
              <w:rPr>
                <w:rFonts w:ascii="仿宋_GB2312" w:hAnsi="仿宋_GB2312" w:eastAsia="仿宋_GB2312" w:cs="仿宋_GB2312"/>
              </w:rPr>
            </w:pPr>
            <w:r>
              <w:rPr>
                <w:rFonts w:hint="eastAsia" w:ascii="仿宋_GB2312" w:hAnsi="仿宋_GB2312" w:eastAsia="仿宋_GB2312" w:cs="仿宋_GB2312"/>
              </w:rPr>
              <w:t>119</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right="1"/>
              <w:jc w:val="center"/>
              <w:rPr>
                <w:rFonts w:ascii="仿宋_GB2312" w:hAnsi="仿宋_GB2312" w:eastAsia="仿宋_GB2312" w:cs="仿宋_GB2312"/>
              </w:rPr>
            </w:pPr>
            <w:r>
              <w:rPr>
                <w:rFonts w:hint="eastAsia" w:ascii="仿宋_GB2312" w:hAnsi="仿宋_GB2312" w:eastAsia="仿宋_GB2312" w:cs="仿宋_GB2312"/>
              </w:rPr>
              <w:t>凳子</w:t>
            </w:r>
          </w:p>
        </w:tc>
        <w:tc>
          <w:tcPr>
            <w:tcW w:w="346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普通</w:t>
            </w:r>
          </w:p>
        </w:tc>
        <w:tc>
          <w:tcPr>
            <w:tcW w:w="68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2</w:t>
            </w:r>
          </w:p>
        </w:tc>
        <w:tc>
          <w:tcPr>
            <w:tcW w:w="18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bl>
    <w:p>
      <w:pPr>
        <w:ind w:firstLine="600" w:firstLineChars="200"/>
        <w:rPr>
          <w:rFonts w:ascii="黑体" w:hAnsi="黑体" w:eastAsia="黑体" w:cs="黑体"/>
          <w:bCs/>
          <w:sz w:val="30"/>
          <w:szCs w:val="30"/>
        </w:rPr>
      </w:pPr>
      <w:r>
        <w:rPr>
          <w:rFonts w:hint="eastAsia" w:ascii="黑体" w:hAnsi="黑体" w:eastAsia="黑体" w:cs="黑体"/>
          <w:bCs/>
          <w:sz w:val="30"/>
          <w:szCs w:val="30"/>
        </w:rPr>
        <w:t>十一、成绩评定</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（一）评分方案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次评分方案主要参照世界技能大赛评分方案，同时结合国内实际情况，进行部分调整。世界技能大赛评分方案按照其标准规范进行赋分，主要考核参赛选手应该具备的能力。优秀的从业者应该具备工作组织和自我管理、沟通和人际交往能力、解决问题、创新和创造力、理解、同情客户并与客户合作以提高其生活质量的能力。受过专业训练或有经验的参赛选手都富有高水平的个人责任与自主性。</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为此，专家组从工作组织与管理、沟通和人际交往能力、解决问题能力以及创造力、评估需求和规划服务对象照护、管理和提供服务对象照护和评估评价服务对象照护等六方面进行评价。</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每个竞赛模块100分。每个竞赛模块有三部分，分数分配为：照护计划10分，实际照护80分，健康教育海报或反思报告10分。</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（二）评分标准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本赛项评分标准分为测量和评判两类。凡需要采用主观描述进行的评价为评判，凡可采用客观数据表述的评价为测量。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1.裁判员</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裁判基本条件：</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1）现场执裁裁判具有医学、护理背景，有丰富教学和一线经验，同时具有大赛执裁经验的中高级职称人员。</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2）加密裁判具有大赛执裁经验。</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2.评判分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打分方式：三名裁判各自单独评分。评分结果是0到3级，最后授予的分数是根据评分组中三位裁判评分结果的平均数计算得出。裁判相互间分差必须小于等于1分，否则需要给出确切理由并在裁判组长或裁判长的监督下进行调分。0至3级评分与行业标准的关系如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•0</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表现各方面均低于行业标准，包括本评分项目未完成；</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表现符合行业标准；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表现达到并在特定方面超过行业标准；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表现完成超出行业标准，并被评为优秀或杰出。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 测量分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测量分打分方式：按评分标准的要求进行赋分。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测量评分分数：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•达到标准——满分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•达到部分标准——部分分数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•未达到标准——零分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4.评分标准</w:t>
      </w:r>
    </w:p>
    <w:tbl>
      <w:tblPr>
        <w:tblStyle w:val="6"/>
        <w:tblW w:w="9474" w:type="dxa"/>
        <w:tblInd w:w="-170" w:type="dxa"/>
        <w:tblLayout w:type="fixed"/>
        <w:tblCellMar>
          <w:top w:w="0" w:type="dxa"/>
          <w:left w:w="0" w:type="dxa"/>
          <w:bottom w:w="0" w:type="dxa"/>
          <w:right w:w="0" w:type="dxa"/>
        </w:tblCellMar>
      </w:tblPr>
      <w:tblGrid>
        <w:gridCol w:w="1062"/>
        <w:gridCol w:w="1100"/>
        <w:gridCol w:w="1092"/>
        <w:gridCol w:w="3163"/>
        <w:gridCol w:w="3057"/>
      </w:tblGrid>
      <w:tr>
        <w:tblPrEx>
          <w:tblCellMar>
            <w:top w:w="0" w:type="dxa"/>
            <w:left w:w="0" w:type="dxa"/>
            <w:bottom w:w="0" w:type="dxa"/>
            <w:right w:w="0" w:type="dxa"/>
          </w:tblCellMar>
        </w:tblPrEx>
        <w:trPr>
          <w:trHeight w:val="1248" w:hRule="exact"/>
        </w:trPr>
        <w:tc>
          <w:tcPr>
            <w:tcW w:w="106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31" w:line="179" w:lineRule="auto"/>
              <w:ind w:right="212"/>
              <w:jc w:val="center"/>
              <w:rPr>
                <w:rFonts w:ascii="黑体" w:hAnsi="黑体" w:eastAsia="黑体" w:cs="黑体"/>
                <w:bCs/>
              </w:rPr>
            </w:pPr>
            <w:r>
              <w:rPr>
                <w:rFonts w:hint="eastAsia" w:ascii="黑体" w:hAnsi="黑体" w:eastAsia="黑体" w:cs="黑体"/>
                <w:bCs/>
              </w:rPr>
              <w:t>子标准编号</w:t>
            </w:r>
          </w:p>
        </w:tc>
        <w:tc>
          <w:tcPr>
            <w:tcW w:w="1100"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8"/>
              <w:jc w:val="both"/>
              <w:rPr>
                <w:rFonts w:ascii="黑体" w:hAnsi="黑体" w:eastAsia="黑体" w:cs="黑体"/>
                <w:bCs/>
              </w:rPr>
            </w:pPr>
          </w:p>
          <w:p>
            <w:pPr>
              <w:pStyle w:val="11"/>
              <w:kinsoku w:val="0"/>
              <w:overflowPunct w:val="0"/>
              <w:spacing w:line="179" w:lineRule="auto"/>
              <w:ind w:left="229" w:right="110" w:hanging="120"/>
              <w:jc w:val="both"/>
              <w:rPr>
                <w:rFonts w:ascii="黑体" w:hAnsi="黑体" w:eastAsia="黑体" w:cs="黑体"/>
                <w:bCs/>
              </w:rPr>
            </w:pPr>
            <w:r>
              <w:rPr>
                <w:rFonts w:hint="eastAsia" w:ascii="黑体" w:hAnsi="黑体" w:eastAsia="黑体" w:cs="黑体"/>
                <w:bCs/>
              </w:rPr>
              <w:t>子标准名称</w:t>
            </w: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50" w:lineRule="exact"/>
              <w:jc w:val="center"/>
              <w:rPr>
                <w:rFonts w:ascii="黑体" w:hAnsi="黑体" w:eastAsia="黑体" w:cs="黑体"/>
                <w:bCs/>
              </w:rPr>
            </w:pPr>
            <w:r>
              <w:rPr>
                <w:rFonts w:hint="eastAsia" w:ascii="黑体" w:hAnsi="黑体" w:eastAsia="黑体" w:cs="黑体"/>
                <w:bCs/>
              </w:rPr>
              <w:t>评分类</w:t>
            </w:r>
          </w:p>
          <w:p>
            <w:pPr>
              <w:pStyle w:val="11"/>
              <w:kinsoku w:val="0"/>
              <w:overflowPunct w:val="0"/>
              <w:spacing w:before="37" w:line="179" w:lineRule="auto"/>
              <w:ind w:left="102" w:right="11" w:hanging="91"/>
              <w:jc w:val="center"/>
              <w:rPr>
                <w:rFonts w:ascii="黑体" w:hAnsi="黑体" w:eastAsia="黑体" w:cs="黑体"/>
                <w:bCs/>
              </w:rPr>
            </w:pPr>
            <w:r>
              <w:rPr>
                <w:rFonts w:hint="eastAsia" w:ascii="黑体" w:hAnsi="黑体" w:eastAsia="黑体" w:cs="黑体"/>
                <w:bCs/>
              </w:rPr>
              <w:t>型</w:t>
            </w:r>
            <w:r>
              <w:rPr>
                <w:rFonts w:hint="eastAsia" w:ascii="黑体" w:hAnsi="黑体" w:eastAsia="黑体" w:cs="黑体"/>
                <w:bCs/>
                <w:w w:val="90"/>
              </w:rPr>
              <w:t>M=测量，</w:t>
            </w:r>
            <w:r>
              <w:rPr>
                <w:rFonts w:hint="eastAsia" w:ascii="黑体" w:hAnsi="黑体" w:eastAsia="黑体" w:cs="黑体"/>
                <w:bCs/>
                <w:spacing w:val="1"/>
              </w:rPr>
              <w:t>J=评判</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黑体" w:hAnsi="黑体" w:eastAsia="黑体" w:cs="黑体"/>
                <w:bCs/>
              </w:rPr>
            </w:pPr>
            <w:r>
              <w:rPr>
                <w:rFonts w:hint="eastAsia" w:ascii="黑体" w:hAnsi="黑体" w:eastAsia="黑体" w:cs="黑体"/>
                <w:bCs/>
              </w:rPr>
              <w:t>评分项目描述</w:t>
            </w:r>
          </w:p>
        </w:tc>
        <w:tc>
          <w:tcPr>
            <w:tcW w:w="3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黑体" w:hAnsi="黑体" w:eastAsia="黑体" w:cs="黑体"/>
                <w:bCs/>
              </w:rPr>
            </w:pPr>
            <w:r>
              <w:rPr>
                <w:rFonts w:hint="eastAsia" w:ascii="黑体" w:hAnsi="黑体" w:eastAsia="黑体" w:cs="黑体"/>
                <w:bCs/>
              </w:rPr>
              <w:t>具体内容描述</w:t>
            </w:r>
          </w:p>
        </w:tc>
      </w:tr>
      <w:tr>
        <w:tblPrEx>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A1</w:t>
            </w:r>
          </w:p>
        </w:tc>
        <w:tc>
          <w:tcPr>
            <w:tcW w:w="1100"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5" w:lineRule="exact"/>
              <w:ind w:left="111"/>
              <w:jc w:val="center"/>
              <w:rPr>
                <w:rFonts w:ascii="仿宋_GB2312" w:hAnsi="仿宋_GB2312" w:eastAsia="仿宋_GB2312" w:cs="仿宋_GB2312"/>
              </w:rPr>
            </w:pPr>
            <w:r>
              <w:rPr>
                <w:rFonts w:hint="eastAsia" w:ascii="仿宋_GB2312" w:hAnsi="仿宋_GB2312" w:eastAsia="仿宋_GB2312" w:cs="仿宋_GB2312"/>
              </w:rPr>
              <w:t>**计划</w:t>
            </w:r>
          </w:p>
        </w:tc>
        <w:tc>
          <w:tcPr>
            <w:tcW w:w="1092"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sz w:val="24"/>
                <w:szCs w:val="24"/>
              </w:rPr>
            </w:pPr>
          </w:p>
        </w:tc>
        <w:tc>
          <w:tcPr>
            <w:tcW w:w="3163"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sz w:val="24"/>
                <w:szCs w:val="24"/>
              </w:rPr>
            </w:pPr>
          </w:p>
        </w:tc>
        <w:tc>
          <w:tcPr>
            <w:tcW w:w="3057"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rPr>
              <w:t>书面计划包括的所有任务</w:t>
            </w:r>
          </w:p>
        </w:tc>
        <w:tc>
          <w:tcPr>
            <w:tcW w:w="3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至少4个</w:t>
            </w:r>
          </w:p>
        </w:tc>
      </w:tr>
      <w:tr>
        <w:tblPrEx>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7" w:lineRule="exact"/>
              <w:rPr>
                <w:rFonts w:ascii="仿宋_GB2312" w:hAnsi="仿宋_GB2312" w:eastAsia="仿宋_GB2312" w:cs="仿宋_GB2312"/>
              </w:rPr>
            </w:pPr>
            <w:r>
              <w:rPr>
                <w:rFonts w:hint="eastAsia" w:ascii="仿宋_GB2312" w:hAnsi="仿宋_GB2312" w:eastAsia="仿宋_GB2312" w:cs="仿宋_GB2312"/>
              </w:rPr>
              <w:t>书面计划包括的时间计划</w:t>
            </w:r>
          </w:p>
        </w:tc>
        <w:tc>
          <w:tcPr>
            <w:tcW w:w="3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rPr>
                <w:rFonts w:ascii="仿宋_GB2312" w:hAnsi="仿宋_GB2312" w:eastAsia="仿宋_GB2312" w:cs="仿宋_GB2312"/>
              </w:rPr>
            </w:pPr>
            <w:r>
              <w:rPr>
                <w:rFonts w:hint="eastAsia" w:ascii="仿宋_GB2312" w:hAnsi="仿宋_GB2312" w:eastAsia="仿宋_GB2312" w:cs="仿宋_GB2312"/>
              </w:rPr>
              <w:t>有逻辑顺序</w:t>
            </w:r>
          </w:p>
        </w:tc>
      </w:tr>
      <w:tr>
        <w:tblPrEx>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制定拟完成目标</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目标以“人”为中心</w:t>
            </w:r>
          </w:p>
        </w:tc>
        <w:tc>
          <w:tcPr>
            <w:tcW w:w="3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至少达到目标的50％</w:t>
            </w:r>
          </w:p>
        </w:tc>
      </w:tr>
      <w:tr>
        <w:tblPrEx>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6"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书面计划单页上有参赛者编号</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973" w:hRule="exact"/>
        </w:trPr>
        <w:tc>
          <w:tcPr>
            <w:tcW w:w="106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A2</w:t>
            </w:r>
          </w:p>
        </w:tc>
        <w:tc>
          <w:tcPr>
            <w:tcW w:w="11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ind w:left="111"/>
              <w:jc w:val="center"/>
              <w:rPr>
                <w:rFonts w:ascii="仿宋_GB2312" w:hAnsi="仿宋_GB2312" w:eastAsia="仿宋_GB2312" w:cs="仿宋_GB2312"/>
              </w:rPr>
            </w:pPr>
            <w:r>
              <w:rPr>
                <w:rFonts w:hint="eastAsia" w:ascii="仿宋_GB2312" w:hAnsi="仿宋_GB2312" w:eastAsia="仿宋_GB2312" w:cs="仿宋_GB2312"/>
              </w:rPr>
              <w:t>沟通与</w:t>
            </w:r>
          </w:p>
          <w:p>
            <w:pPr>
              <w:pStyle w:val="11"/>
              <w:kinsoku w:val="0"/>
              <w:overflowPunct w:val="0"/>
              <w:spacing w:before="29" w:line="312" w:lineRule="exact"/>
              <w:ind w:left="351" w:right="109" w:hanging="240"/>
              <w:jc w:val="center"/>
              <w:rPr>
                <w:rFonts w:ascii="仿宋_GB2312" w:hAnsi="仿宋_GB2312" w:eastAsia="仿宋_GB2312" w:cs="仿宋_GB2312"/>
              </w:rPr>
            </w:pPr>
            <w:r>
              <w:rPr>
                <w:rFonts w:hint="eastAsia" w:ascii="仿宋_GB2312" w:hAnsi="仿宋_GB2312" w:eastAsia="仿宋_GB2312" w:cs="仿宋_GB2312"/>
              </w:rPr>
              <w:t>实际照护</w:t>
            </w:r>
          </w:p>
        </w:tc>
        <w:tc>
          <w:tcPr>
            <w:tcW w:w="10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316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sz w:val="24"/>
                <w:szCs w:val="24"/>
              </w:rPr>
            </w:pPr>
          </w:p>
        </w:tc>
        <w:tc>
          <w:tcPr>
            <w:tcW w:w="305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参赛者穿着得体</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rPr>
                <w:rFonts w:ascii="仿宋_GB2312" w:hAnsi="仿宋_GB2312" w:eastAsia="仿宋_GB2312" w:cs="仿宋_GB2312"/>
              </w:rPr>
            </w:pPr>
            <w:r>
              <w:rPr>
                <w:rFonts w:hint="eastAsia" w:ascii="仿宋_GB2312" w:hAnsi="仿宋_GB2312" w:eastAsia="仿宋_GB2312" w:cs="仿宋_GB2312"/>
              </w:rPr>
              <w:t>核实客户身份</w:t>
            </w:r>
          </w:p>
        </w:tc>
        <w:tc>
          <w:tcPr>
            <w:tcW w:w="3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rPr>
                <w:rFonts w:ascii="仿宋_GB2312" w:hAnsi="仿宋_GB2312" w:eastAsia="仿宋_GB2312" w:cs="仿宋_GB2312"/>
              </w:rPr>
            </w:pPr>
            <w:r>
              <w:rPr>
                <w:rFonts w:hint="eastAsia" w:ascii="仿宋_GB2312" w:hAnsi="仿宋_GB2312" w:eastAsia="仿宋_GB2312" w:cs="仿宋_GB2312"/>
              </w:rPr>
              <w:t>询问客户全名并检查腕带或是床头卡等</w:t>
            </w:r>
          </w:p>
        </w:tc>
      </w:tr>
      <w:tr>
        <w:tblPrEx>
          <w:tblCellMar>
            <w:top w:w="0" w:type="dxa"/>
            <w:left w:w="0" w:type="dxa"/>
            <w:bottom w:w="0" w:type="dxa"/>
            <w:right w:w="0" w:type="dxa"/>
          </w:tblCellMar>
        </w:tblPrEx>
        <w:trPr>
          <w:trHeight w:val="1258" w:hRule="exact"/>
        </w:trPr>
        <w:tc>
          <w:tcPr>
            <w:tcW w:w="10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与客户建立融洽关系</w:t>
            </w:r>
          </w:p>
        </w:tc>
        <w:tc>
          <w:tcPr>
            <w:tcW w:w="305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4" w:lineRule="exact"/>
              <w:rPr>
                <w:rFonts w:ascii="仿宋_GB2312" w:hAnsi="仿宋_GB2312" w:eastAsia="仿宋_GB2312" w:cs="仿宋_GB2312"/>
                <w:spacing w:val="-1"/>
              </w:rPr>
            </w:pPr>
            <w:r>
              <w:rPr>
                <w:rFonts w:hint="eastAsia" w:ascii="仿宋_GB2312" w:hAnsi="仿宋_GB2312" w:eastAsia="仿宋_GB2312" w:cs="仿宋_GB2312"/>
                <w:spacing w:val="-1"/>
              </w:rPr>
              <w:t>保持眼神交流，与客户相同的</w:t>
            </w:r>
          </w:p>
          <w:p>
            <w:pPr>
              <w:pStyle w:val="11"/>
              <w:kinsoku w:val="0"/>
              <w:overflowPunct w:val="0"/>
              <w:spacing w:before="29" w:line="312" w:lineRule="exact"/>
              <w:ind w:left="102" w:right="100" w:hanging="1"/>
              <w:rPr>
                <w:rFonts w:ascii="仿宋_GB2312" w:hAnsi="仿宋_GB2312" w:eastAsia="仿宋_GB2312" w:cs="仿宋_GB2312"/>
              </w:rPr>
            </w:pPr>
            <w:r>
              <w:rPr>
                <w:rFonts w:hint="eastAsia" w:ascii="仿宋_GB2312" w:hAnsi="仿宋_GB2312" w:eastAsia="仿宋_GB2312" w:cs="仿宋_GB2312"/>
                <w:spacing w:val="-2"/>
              </w:rPr>
              <w:t>高度。当客户给出答案时，使</w:t>
            </w:r>
            <w:r>
              <w:rPr>
                <w:rFonts w:hint="eastAsia" w:ascii="仿宋_GB2312" w:hAnsi="仿宋_GB2312" w:eastAsia="仿宋_GB2312" w:cs="仿宋_GB2312"/>
                <w:spacing w:val="-1"/>
              </w:rPr>
              <w:t>用鼓励的语言，确保客户理解</w:t>
            </w:r>
            <w:r>
              <w:rPr>
                <w:rFonts w:hint="eastAsia" w:ascii="仿宋_GB2312" w:hAnsi="仿宋_GB2312" w:eastAsia="仿宋_GB2312" w:cs="仿宋_GB2312"/>
              </w:rPr>
              <w:t>所说的话。</w:t>
            </w:r>
          </w:p>
        </w:tc>
      </w:tr>
      <w:tr>
        <w:tblPrEx>
          <w:tblCellMar>
            <w:top w:w="0" w:type="dxa"/>
            <w:left w:w="0" w:type="dxa"/>
            <w:bottom w:w="0" w:type="dxa"/>
            <w:right w:w="0" w:type="dxa"/>
          </w:tblCellMar>
        </w:tblPrEx>
        <w:trPr>
          <w:trHeight w:val="1570"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rPr>
              <w:t>评估客户现在的感受</w:t>
            </w:r>
          </w:p>
          <w:p>
            <w:pPr>
              <w:pStyle w:val="11"/>
              <w:kinsoku w:val="0"/>
              <w:overflowPunct w:val="0"/>
              <w:spacing w:line="313" w:lineRule="exact"/>
              <w:rPr>
                <w:rFonts w:ascii="仿宋_GB2312" w:hAnsi="仿宋_GB2312" w:eastAsia="仿宋_GB2312" w:cs="仿宋_GB2312"/>
              </w:rPr>
            </w:pPr>
            <w:r>
              <w:rPr>
                <w:rFonts w:hint="eastAsia" w:ascii="仿宋_GB2312" w:hAnsi="仿宋_GB2312" w:eastAsia="仿宋_GB2312" w:cs="仿宋_GB2312"/>
              </w:rPr>
              <w:t>和感觉</w:t>
            </w:r>
          </w:p>
        </w:tc>
        <w:tc>
          <w:tcPr>
            <w:tcW w:w="305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4" w:lineRule="exact"/>
              <w:ind w:left="102" w:right="-17"/>
              <w:rPr>
                <w:rFonts w:ascii="仿宋_GB2312" w:hAnsi="仿宋_GB2312" w:eastAsia="仿宋_GB2312" w:cs="仿宋_GB2312"/>
              </w:rPr>
            </w:pPr>
            <w:r>
              <w:rPr>
                <w:rFonts w:hint="eastAsia" w:ascii="仿宋_GB2312" w:hAnsi="仿宋_GB2312" w:eastAsia="仿宋_GB2312" w:cs="仿宋_GB2312"/>
              </w:rPr>
              <w:t>客户的一般情</w:t>
            </w:r>
            <w:r>
              <w:rPr>
                <w:rFonts w:hint="eastAsia" w:ascii="仿宋_GB2312" w:hAnsi="仿宋_GB2312" w:eastAsia="仿宋_GB2312" w:cs="仿宋_GB2312"/>
                <w:spacing w:val="-68"/>
              </w:rPr>
              <w:t>况</w:t>
            </w:r>
            <w:r>
              <w:rPr>
                <w:rFonts w:hint="eastAsia" w:ascii="仿宋_GB2312" w:hAnsi="仿宋_GB2312" w:eastAsia="仿宋_GB2312" w:cs="仿宋_GB2312"/>
              </w:rPr>
              <w:t>（饮</w:t>
            </w:r>
            <w:r>
              <w:rPr>
                <w:rFonts w:hint="eastAsia" w:ascii="仿宋_GB2312" w:hAnsi="仿宋_GB2312" w:eastAsia="仿宋_GB2312" w:cs="仿宋_GB2312"/>
                <w:spacing w:val="2"/>
              </w:rPr>
              <w:t>食</w:t>
            </w:r>
            <w:r>
              <w:rPr>
                <w:rFonts w:hint="eastAsia" w:ascii="仿宋_GB2312" w:hAnsi="仿宋_GB2312" w:eastAsia="仿宋_GB2312" w:cs="仿宋_GB2312"/>
                <w:spacing w:val="-68"/>
              </w:rPr>
              <w:t>、</w:t>
            </w:r>
            <w:r>
              <w:rPr>
                <w:rFonts w:hint="eastAsia" w:ascii="仿宋_GB2312" w:hAnsi="仿宋_GB2312" w:eastAsia="仿宋_GB2312" w:cs="仿宋_GB2312"/>
              </w:rPr>
              <w:t>睡眠、</w:t>
            </w:r>
            <w:r>
              <w:rPr>
                <w:rFonts w:hint="eastAsia" w:ascii="仿宋_GB2312" w:hAnsi="仿宋_GB2312" w:eastAsia="仿宋_GB2312" w:cs="仿宋_GB2312"/>
                <w:spacing w:val="-2"/>
              </w:rPr>
              <w:t>二便、情绪等），环境，及疾</w:t>
            </w:r>
            <w:r>
              <w:rPr>
                <w:rFonts w:hint="eastAsia" w:ascii="仿宋_GB2312" w:hAnsi="仿宋_GB2312" w:eastAsia="仿宋_GB2312" w:cs="仿宋_GB2312"/>
              </w:rPr>
              <w:t>病相关的症状（口渴、头晕</w:t>
            </w:r>
            <w:r>
              <w:rPr>
                <w:rFonts w:hint="eastAsia" w:ascii="仿宋_GB2312" w:hAnsi="仿宋_GB2312" w:eastAsia="仿宋_GB2312" w:cs="仿宋_GB2312"/>
                <w:spacing w:val="-2"/>
              </w:rPr>
              <w:t>等），心情好吗？感觉怎样？</w:t>
            </w:r>
            <w:r>
              <w:rPr>
                <w:rFonts w:hint="eastAsia" w:ascii="仿宋_GB2312" w:hAnsi="仿宋_GB2312" w:eastAsia="仿宋_GB2312" w:cs="仿宋_GB2312"/>
              </w:rPr>
              <w:t>有无不舒服等</w:t>
            </w:r>
          </w:p>
        </w:tc>
      </w:tr>
      <w:tr>
        <w:tblPrEx>
          <w:tblCellMar>
            <w:top w:w="0" w:type="dxa"/>
            <w:left w:w="0" w:type="dxa"/>
            <w:bottom w:w="0" w:type="dxa"/>
            <w:right w:w="0" w:type="dxa"/>
          </w:tblCellMar>
        </w:tblPrEx>
        <w:trPr>
          <w:trHeight w:val="1261"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7" w:lineRule="exact"/>
              <w:rPr>
                <w:rFonts w:ascii="仿宋_GB2312" w:hAnsi="仿宋_GB2312" w:eastAsia="仿宋_GB2312" w:cs="仿宋_GB2312"/>
              </w:rPr>
            </w:pPr>
            <w:r>
              <w:rPr>
                <w:rFonts w:hint="eastAsia" w:ascii="仿宋_GB2312" w:hAnsi="仿宋_GB2312" w:eastAsia="仿宋_GB2312" w:cs="仿宋_GB2312"/>
              </w:rPr>
              <w:t>评估客户对于疾病的</w:t>
            </w:r>
            <w:r>
              <w:rPr>
                <w:rFonts w:hint="eastAsia" w:ascii="仿宋_GB2312" w:hAnsi="仿宋_GB2312" w:eastAsia="仿宋_GB2312" w:cs="仿宋_GB2312"/>
                <w:spacing w:val="-3"/>
              </w:rPr>
              <w:t>理解，侧重于健康教育需求、情感和社会、心</w:t>
            </w:r>
            <w:r>
              <w:rPr>
                <w:rFonts w:hint="eastAsia" w:ascii="仿宋_GB2312" w:hAnsi="仿宋_GB2312" w:eastAsia="仿宋_GB2312" w:cs="仿宋_GB2312"/>
              </w:rPr>
              <w:t>理支持的需要</w:t>
            </w:r>
          </w:p>
        </w:tc>
        <w:tc>
          <w:tcPr>
            <w:tcW w:w="305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7" w:lineRule="exact"/>
              <w:rPr>
                <w:rFonts w:ascii="仿宋_GB2312" w:hAnsi="仿宋_GB2312" w:eastAsia="仿宋_GB2312" w:cs="仿宋_GB2312"/>
                <w:spacing w:val="-1"/>
              </w:rPr>
            </w:pPr>
            <w:r>
              <w:rPr>
                <w:rFonts w:hint="eastAsia" w:ascii="仿宋_GB2312" w:hAnsi="仿宋_GB2312" w:eastAsia="仿宋_GB2312" w:cs="仿宋_GB2312"/>
                <w:spacing w:val="-1"/>
              </w:rPr>
              <w:t>如：你如何理解这个疾病？对</w:t>
            </w:r>
          </w:p>
          <w:p>
            <w:pPr>
              <w:pStyle w:val="11"/>
              <w:kinsoku w:val="0"/>
              <w:overflowPunct w:val="0"/>
              <w:spacing w:line="238" w:lineRule="auto"/>
              <w:ind w:left="102" w:right="100" w:hanging="2"/>
              <w:rPr>
                <w:rFonts w:ascii="仿宋_GB2312" w:hAnsi="仿宋_GB2312" w:eastAsia="仿宋_GB2312" w:cs="仿宋_GB2312"/>
              </w:rPr>
            </w:pPr>
            <w:r>
              <w:rPr>
                <w:rFonts w:hint="eastAsia" w:ascii="仿宋_GB2312" w:hAnsi="仿宋_GB2312" w:eastAsia="仿宋_GB2312" w:cs="仿宋_GB2312"/>
              </w:rPr>
              <w:t>现状和治疗情况的感受？疾</w:t>
            </w:r>
            <w:r>
              <w:rPr>
                <w:rFonts w:hint="eastAsia" w:ascii="仿宋_GB2312" w:hAnsi="仿宋_GB2312" w:eastAsia="仿宋_GB2312" w:cs="仿宋_GB2312"/>
                <w:spacing w:val="-1"/>
              </w:rPr>
              <w:t>病对客户生活、家庭、经济收</w:t>
            </w:r>
            <w:r>
              <w:rPr>
                <w:rFonts w:hint="eastAsia" w:ascii="仿宋_GB2312" w:hAnsi="仿宋_GB2312" w:eastAsia="仿宋_GB2312" w:cs="仿宋_GB2312"/>
              </w:rPr>
              <w:t>入等的影响</w:t>
            </w:r>
          </w:p>
        </w:tc>
      </w:tr>
      <w:tr>
        <w:tblPrEx>
          <w:tblCellMar>
            <w:top w:w="0" w:type="dxa"/>
            <w:left w:w="0" w:type="dxa"/>
            <w:bottom w:w="0" w:type="dxa"/>
            <w:right w:w="0" w:type="dxa"/>
          </w:tblCellMar>
        </w:tblPrEx>
        <w:trPr>
          <w:trHeight w:val="572"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描述健康相关的信息</w:t>
            </w:r>
          </w:p>
        </w:tc>
        <w:tc>
          <w:tcPr>
            <w:tcW w:w="3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spacing w:val="-2"/>
              </w:rPr>
              <w:t>例如：左侧肢体不灵活、疼痛</w:t>
            </w:r>
          </w:p>
        </w:tc>
      </w:tr>
      <w:tr>
        <w:tblPrEx>
          <w:tblCellMar>
            <w:top w:w="0" w:type="dxa"/>
            <w:left w:w="0" w:type="dxa"/>
            <w:bottom w:w="0" w:type="dxa"/>
            <w:right w:w="0" w:type="dxa"/>
          </w:tblCellMar>
        </w:tblPrEx>
        <w:trPr>
          <w:trHeight w:val="634"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spacing w:val="-3"/>
              </w:rPr>
              <w:t>告诉客户照护目的、意</w:t>
            </w:r>
            <w:r>
              <w:rPr>
                <w:rFonts w:hint="eastAsia" w:ascii="仿宋_GB2312" w:hAnsi="仿宋_GB2312" w:eastAsia="仿宋_GB2312" w:cs="仿宋_GB2312"/>
              </w:rPr>
              <w:t>义</w:t>
            </w:r>
          </w:p>
        </w:tc>
        <w:tc>
          <w:tcPr>
            <w:tcW w:w="3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例如：这是一种预防措施...</w:t>
            </w:r>
          </w:p>
        </w:tc>
      </w:tr>
      <w:tr>
        <w:tblPrEx>
          <w:tblCellMar>
            <w:top w:w="0" w:type="dxa"/>
            <w:left w:w="0" w:type="dxa"/>
            <w:bottom w:w="0" w:type="dxa"/>
            <w:right w:w="0" w:type="dxa"/>
          </w:tblCellMar>
        </w:tblPrEx>
        <w:trPr>
          <w:trHeight w:val="946"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rPr>
              <w:t>参赛者确认客户已理解</w:t>
            </w:r>
          </w:p>
        </w:tc>
        <w:tc>
          <w:tcPr>
            <w:tcW w:w="305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spacing w:val="-1"/>
              </w:rPr>
              <w:t>向客户讲解照护等过程，询问</w:t>
            </w:r>
            <w:r>
              <w:rPr>
                <w:rFonts w:hint="eastAsia" w:ascii="仿宋_GB2312" w:hAnsi="仿宋_GB2312" w:eastAsia="仿宋_GB2312" w:cs="仿宋_GB2312"/>
              </w:rPr>
              <w:t>客户是否了解，取得她/他的配合</w:t>
            </w:r>
          </w:p>
        </w:tc>
      </w:tr>
      <w:tr>
        <w:tblPrEx>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rPr>
              <w:t>第1部分：***（任务名称）</w:t>
            </w:r>
          </w:p>
        </w:tc>
        <w:tc>
          <w:tcPr>
            <w:tcW w:w="3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both"/>
              <w:rPr>
                <w:rFonts w:ascii="仿宋_GB2312" w:hAnsi="仿宋_GB2312" w:eastAsia="仿宋_GB2312" w:cs="仿宋_GB2312"/>
              </w:rPr>
            </w:pPr>
            <w:r>
              <w:rPr>
                <w:rFonts w:hint="eastAsia" w:ascii="仿宋_GB2312" w:hAnsi="仿宋_GB2312" w:eastAsia="仿宋_GB2312" w:cs="仿宋_GB2312"/>
              </w:rPr>
              <w:t>具体步骤</w:t>
            </w:r>
          </w:p>
        </w:tc>
      </w:tr>
      <w:tr>
        <w:tblPrEx>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rPr>
              <w:t>第2部分：***（任务名称）</w:t>
            </w:r>
          </w:p>
        </w:tc>
        <w:tc>
          <w:tcPr>
            <w:tcW w:w="3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both"/>
              <w:rPr>
                <w:rFonts w:ascii="仿宋_GB2312" w:hAnsi="仿宋_GB2312" w:eastAsia="仿宋_GB2312" w:cs="仿宋_GB2312"/>
              </w:rPr>
            </w:pPr>
            <w:r>
              <w:rPr>
                <w:rFonts w:hint="eastAsia" w:ascii="仿宋_GB2312" w:hAnsi="仿宋_GB2312" w:eastAsia="仿宋_GB2312" w:cs="仿宋_GB2312"/>
              </w:rPr>
              <w:t>具体步骤</w:t>
            </w:r>
          </w:p>
        </w:tc>
      </w:tr>
      <w:tr>
        <w:tblPrEx>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7" w:lineRule="exact"/>
              <w:rPr>
                <w:rFonts w:ascii="仿宋_GB2312" w:hAnsi="仿宋_GB2312" w:eastAsia="仿宋_GB2312" w:cs="仿宋_GB2312"/>
              </w:rPr>
            </w:pPr>
            <w:r>
              <w:rPr>
                <w:rFonts w:hint="eastAsia" w:ascii="仿宋_GB2312" w:hAnsi="仿宋_GB2312" w:eastAsia="仿宋_GB2312" w:cs="仿宋_GB2312"/>
              </w:rPr>
              <w:t>离开前整理客户的床位和环境</w:t>
            </w:r>
          </w:p>
        </w:tc>
        <w:tc>
          <w:tcPr>
            <w:tcW w:w="3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jc w:val="both"/>
              <w:rPr>
                <w:rFonts w:ascii="仿宋_GB2312" w:hAnsi="仿宋_GB2312" w:eastAsia="仿宋_GB2312" w:cs="仿宋_GB2312"/>
              </w:rPr>
            </w:pPr>
            <w:r>
              <w:rPr>
                <w:rFonts w:hint="eastAsia" w:ascii="仿宋_GB2312" w:hAnsi="仿宋_GB2312" w:eastAsia="仿宋_GB2312" w:cs="仿宋_GB2312"/>
              </w:rPr>
              <w:t>使它干净舒适。</w:t>
            </w:r>
          </w:p>
        </w:tc>
      </w:tr>
      <w:tr>
        <w:tblPrEx>
          <w:tblCellMar>
            <w:top w:w="0" w:type="dxa"/>
            <w:left w:w="0" w:type="dxa"/>
            <w:bottom w:w="0" w:type="dxa"/>
            <w:right w:w="0" w:type="dxa"/>
          </w:tblCellMar>
        </w:tblPrEx>
        <w:trPr>
          <w:trHeight w:val="862"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rPr>
              <w:t>参赛者记录评估或是照护记录结果</w:t>
            </w:r>
          </w:p>
        </w:tc>
        <w:tc>
          <w:tcPr>
            <w:tcW w:w="305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rPr>
              <w:t>所有数据均记录，且数据真实，例如：言语正常或模糊</w:t>
            </w:r>
          </w:p>
        </w:tc>
      </w:tr>
      <w:tr>
        <w:tblPrEx>
          <w:tblCellMar>
            <w:top w:w="0" w:type="dxa"/>
            <w:left w:w="0" w:type="dxa"/>
            <w:bottom w:w="0" w:type="dxa"/>
            <w:right w:w="0" w:type="dxa"/>
          </w:tblCellMar>
        </w:tblPrEx>
        <w:trPr>
          <w:trHeight w:val="690"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rPr>
              <w:t>确保客户舒适并给予积极支持</w:t>
            </w:r>
          </w:p>
        </w:tc>
        <w:tc>
          <w:tcPr>
            <w:tcW w:w="305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4" w:lineRule="exact"/>
              <w:rPr>
                <w:rFonts w:ascii="仿宋_GB2312" w:hAnsi="仿宋_GB2312" w:eastAsia="仿宋_GB2312" w:cs="仿宋_GB2312"/>
                <w:spacing w:val="-1"/>
              </w:rPr>
            </w:pPr>
            <w:r>
              <w:rPr>
                <w:rFonts w:hint="eastAsia" w:ascii="仿宋_GB2312" w:hAnsi="仿宋_GB2312" w:eastAsia="仿宋_GB2312" w:cs="仿宋_GB2312"/>
                <w:spacing w:val="-1"/>
              </w:rPr>
              <w:t>照护过程中随时观察，保证客</w:t>
            </w:r>
          </w:p>
          <w:p>
            <w:pPr>
              <w:pStyle w:val="11"/>
              <w:kinsoku w:val="0"/>
              <w:overflowPunct w:val="0"/>
              <w:spacing w:line="313" w:lineRule="exact"/>
              <w:ind w:right="1"/>
              <w:rPr>
                <w:rFonts w:ascii="仿宋_GB2312" w:hAnsi="仿宋_GB2312" w:eastAsia="仿宋_GB2312" w:cs="仿宋_GB2312"/>
              </w:rPr>
            </w:pPr>
            <w:r>
              <w:rPr>
                <w:rFonts w:hint="eastAsia" w:ascii="仿宋_GB2312" w:hAnsi="仿宋_GB2312" w:eastAsia="仿宋_GB2312" w:cs="仿宋_GB2312"/>
              </w:rPr>
              <w:t>户舒适，及时给与相应支持</w:t>
            </w:r>
          </w:p>
        </w:tc>
      </w:tr>
      <w:tr>
        <w:tblPrEx>
          <w:tblCellMar>
            <w:top w:w="0" w:type="dxa"/>
            <w:left w:w="0" w:type="dxa"/>
            <w:bottom w:w="0" w:type="dxa"/>
            <w:right w:w="0" w:type="dxa"/>
          </w:tblCellMar>
        </w:tblPrEx>
        <w:trPr>
          <w:trHeight w:val="634"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rPr>
              <w:t>鼓励客户最大限度发挥能动性</w:t>
            </w:r>
          </w:p>
        </w:tc>
        <w:tc>
          <w:tcPr>
            <w:tcW w:w="305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4" w:lineRule="exact"/>
              <w:rPr>
                <w:rFonts w:ascii="仿宋_GB2312" w:hAnsi="仿宋_GB2312" w:eastAsia="仿宋_GB2312" w:cs="仿宋_GB2312"/>
                <w:spacing w:val="-1"/>
              </w:rPr>
            </w:pPr>
            <w:r>
              <w:rPr>
                <w:rFonts w:hint="eastAsia" w:ascii="仿宋_GB2312" w:hAnsi="仿宋_GB2312" w:eastAsia="仿宋_GB2312" w:cs="仿宋_GB2312"/>
                <w:spacing w:val="-1"/>
              </w:rPr>
              <w:t>及时疏导不良情绪，鼓励良好</w:t>
            </w:r>
          </w:p>
          <w:p>
            <w:pPr>
              <w:pStyle w:val="11"/>
              <w:kinsoku w:val="0"/>
              <w:overflowPunct w:val="0"/>
              <w:spacing w:line="313" w:lineRule="exact"/>
              <w:ind w:right="1"/>
              <w:rPr>
                <w:rFonts w:ascii="仿宋_GB2312" w:hAnsi="仿宋_GB2312" w:eastAsia="仿宋_GB2312" w:cs="仿宋_GB2312"/>
              </w:rPr>
            </w:pPr>
            <w:r>
              <w:rPr>
                <w:rFonts w:hint="eastAsia" w:ascii="仿宋_GB2312" w:hAnsi="仿宋_GB2312" w:eastAsia="仿宋_GB2312" w:cs="仿宋_GB2312"/>
              </w:rPr>
              <w:t>表现等</w:t>
            </w:r>
          </w:p>
        </w:tc>
      </w:tr>
      <w:tr>
        <w:tblPrEx>
          <w:tblCellMar>
            <w:top w:w="0" w:type="dxa"/>
            <w:left w:w="0" w:type="dxa"/>
            <w:bottom w:w="0" w:type="dxa"/>
            <w:right w:w="0" w:type="dxa"/>
          </w:tblCellMar>
        </w:tblPrEx>
        <w:trPr>
          <w:trHeight w:val="634"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rPr>
                <w:rFonts w:ascii="仿宋_GB2312" w:hAnsi="仿宋_GB2312" w:eastAsia="仿宋_GB2312" w:cs="仿宋_GB2312"/>
              </w:rPr>
            </w:pPr>
            <w:r>
              <w:rPr>
                <w:rFonts w:hint="eastAsia" w:ascii="仿宋_GB2312" w:hAnsi="仿宋_GB2312" w:eastAsia="仿宋_GB2312" w:cs="仿宋_GB2312"/>
              </w:rPr>
              <w:t>保护客户的隐私</w:t>
            </w:r>
          </w:p>
        </w:tc>
        <w:tc>
          <w:tcPr>
            <w:tcW w:w="305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4" w:lineRule="exact"/>
              <w:rPr>
                <w:rFonts w:ascii="仿宋_GB2312" w:hAnsi="仿宋_GB2312" w:eastAsia="仿宋_GB2312" w:cs="仿宋_GB2312"/>
                <w:spacing w:val="-1"/>
              </w:rPr>
            </w:pPr>
            <w:r>
              <w:rPr>
                <w:rFonts w:hint="eastAsia" w:ascii="仿宋_GB2312" w:hAnsi="仿宋_GB2312" w:eastAsia="仿宋_GB2312" w:cs="仿宋_GB2312"/>
                <w:spacing w:val="-1"/>
              </w:rPr>
              <w:t>例如，正确使用设施，遮盖患</w:t>
            </w:r>
          </w:p>
          <w:p>
            <w:pPr>
              <w:pStyle w:val="11"/>
              <w:kinsoku w:val="0"/>
              <w:overflowPunct w:val="0"/>
              <w:spacing w:line="313" w:lineRule="exact"/>
              <w:ind w:right="1"/>
              <w:rPr>
                <w:rFonts w:ascii="仿宋_GB2312" w:hAnsi="仿宋_GB2312" w:eastAsia="仿宋_GB2312" w:cs="仿宋_GB2312"/>
              </w:rPr>
            </w:pPr>
            <w:r>
              <w:rPr>
                <w:rFonts w:hint="eastAsia" w:ascii="仿宋_GB2312" w:hAnsi="仿宋_GB2312" w:eastAsia="仿宋_GB2312" w:cs="仿宋_GB2312"/>
              </w:rPr>
              <w:t>者的身体等。</w:t>
            </w:r>
          </w:p>
        </w:tc>
      </w:tr>
      <w:tr>
        <w:tblPrEx>
          <w:tblCellMar>
            <w:top w:w="0" w:type="dxa"/>
            <w:left w:w="0" w:type="dxa"/>
            <w:bottom w:w="0" w:type="dxa"/>
            <w:right w:w="0" w:type="dxa"/>
          </w:tblCellMar>
        </w:tblPrEx>
        <w:trPr>
          <w:trHeight w:val="1570"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rPr>
              <w:t>参赛者完成照护前充</w:t>
            </w:r>
          </w:p>
          <w:p>
            <w:pPr>
              <w:pStyle w:val="11"/>
              <w:kinsoku w:val="0"/>
              <w:overflowPunct w:val="0"/>
              <w:spacing w:line="313" w:lineRule="exact"/>
              <w:rPr>
                <w:rFonts w:ascii="仿宋_GB2312" w:hAnsi="仿宋_GB2312" w:eastAsia="仿宋_GB2312" w:cs="仿宋_GB2312"/>
              </w:rPr>
            </w:pPr>
            <w:r>
              <w:rPr>
                <w:rFonts w:hint="eastAsia" w:ascii="仿宋_GB2312" w:hAnsi="仿宋_GB2312" w:eastAsia="仿宋_GB2312" w:cs="仿宋_GB2312"/>
              </w:rPr>
              <w:t>分跟客户沟通其需求</w:t>
            </w:r>
          </w:p>
        </w:tc>
        <w:tc>
          <w:tcPr>
            <w:tcW w:w="305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4" w:lineRule="exact"/>
              <w:rPr>
                <w:rFonts w:ascii="仿宋_GB2312" w:hAnsi="仿宋_GB2312" w:eastAsia="仿宋_GB2312" w:cs="仿宋_GB2312"/>
                <w:spacing w:val="-1"/>
              </w:rPr>
            </w:pPr>
            <w:r>
              <w:rPr>
                <w:rFonts w:hint="eastAsia" w:ascii="仿宋_GB2312" w:hAnsi="仿宋_GB2312" w:eastAsia="仿宋_GB2312" w:cs="仿宋_GB2312"/>
                <w:spacing w:val="-1"/>
              </w:rPr>
              <w:t>了解对照护有无疑问，还有其</w:t>
            </w:r>
          </w:p>
          <w:p>
            <w:pPr>
              <w:pStyle w:val="11"/>
              <w:kinsoku w:val="0"/>
              <w:overflowPunct w:val="0"/>
              <w:spacing w:line="238" w:lineRule="auto"/>
              <w:ind w:left="102" w:right="100" w:hanging="3"/>
              <w:rPr>
                <w:rFonts w:ascii="仿宋_GB2312" w:hAnsi="仿宋_GB2312" w:eastAsia="仿宋_GB2312" w:cs="仿宋_GB2312"/>
              </w:rPr>
            </w:pPr>
            <w:r>
              <w:rPr>
                <w:rFonts w:hint="eastAsia" w:ascii="仿宋_GB2312" w:hAnsi="仿宋_GB2312" w:eastAsia="仿宋_GB2312" w:cs="仿宋_GB2312"/>
              </w:rPr>
              <w:t>他需求吗？询问离开客户时</w:t>
            </w:r>
            <w:r>
              <w:rPr>
                <w:rFonts w:hint="eastAsia" w:ascii="仿宋_GB2312" w:hAnsi="仿宋_GB2312" w:eastAsia="仿宋_GB2312" w:cs="仿宋_GB2312"/>
                <w:spacing w:val="-1"/>
              </w:rPr>
              <w:t>还需要什么帮助？“您认为您</w:t>
            </w:r>
            <w:r>
              <w:rPr>
                <w:rFonts w:hint="eastAsia" w:ascii="仿宋_GB2312" w:hAnsi="仿宋_GB2312" w:eastAsia="仿宋_GB2312" w:cs="仿宋_GB2312"/>
              </w:rPr>
              <w:t>会应对吗？您在家有问题吗？”等</w:t>
            </w:r>
          </w:p>
        </w:tc>
      </w:tr>
      <w:tr>
        <w:tblPrEx>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rPr>
                <w:rFonts w:ascii="仿宋_GB2312" w:hAnsi="仿宋_GB2312" w:eastAsia="仿宋_GB2312" w:cs="仿宋_GB2312"/>
              </w:rPr>
            </w:pPr>
            <w:r>
              <w:rPr>
                <w:rFonts w:hint="eastAsia" w:ascii="仿宋_GB2312" w:hAnsi="仿宋_GB2312" w:eastAsia="仿宋_GB2312" w:cs="仿宋_GB2312"/>
              </w:rPr>
              <w:t>为客户提供安全措施</w:t>
            </w:r>
          </w:p>
        </w:tc>
        <w:tc>
          <w:tcPr>
            <w:tcW w:w="3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rPr>
                <w:rFonts w:ascii="仿宋_GB2312" w:hAnsi="仿宋_GB2312" w:eastAsia="仿宋_GB2312" w:cs="仿宋_GB2312"/>
              </w:rPr>
            </w:pPr>
            <w:r>
              <w:rPr>
                <w:rFonts w:hint="eastAsia" w:ascii="仿宋_GB2312" w:hAnsi="仿宋_GB2312" w:eastAsia="仿宋_GB2312" w:cs="仿宋_GB2312"/>
              </w:rPr>
              <w:t>保证客户处在安全之中</w:t>
            </w:r>
          </w:p>
        </w:tc>
      </w:tr>
      <w:tr>
        <w:tblPrEx>
          <w:tblCellMar>
            <w:top w:w="0" w:type="dxa"/>
            <w:left w:w="0" w:type="dxa"/>
            <w:bottom w:w="0" w:type="dxa"/>
            <w:right w:w="0" w:type="dxa"/>
          </w:tblCellMar>
        </w:tblPrEx>
        <w:trPr>
          <w:trHeight w:val="1258"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坚持卫生原则</w:t>
            </w:r>
          </w:p>
        </w:tc>
        <w:tc>
          <w:tcPr>
            <w:tcW w:w="305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4" w:lineRule="exact"/>
              <w:ind w:right="1"/>
              <w:rPr>
                <w:rFonts w:ascii="仿宋_GB2312" w:hAnsi="仿宋_GB2312" w:eastAsia="仿宋_GB2312" w:cs="仿宋_GB2312"/>
              </w:rPr>
            </w:pPr>
            <w:r>
              <w:rPr>
                <w:rFonts w:hint="eastAsia" w:ascii="仿宋_GB2312" w:hAnsi="仿宋_GB2312" w:eastAsia="仿宋_GB2312" w:cs="仿宋_GB2312"/>
              </w:rPr>
              <w:t>WHO原则，手部卫生五个时</w:t>
            </w:r>
          </w:p>
          <w:p>
            <w:pPr>
              <w:pStyle w:val="11"/>
              <w:kinsoku w:val="0"/>
              <w:overflowPunct w:val="0"/>
              <w:spacing w:before="29" w:line="312" w:lineRule="exact"/>
              <w:ind w:left="102" w:right="100" w:hanging="1"/>
              <w:rPr>
                <w:rFonts w:ascii="仿宋_GB2312" w:hAnsi="仿宋_GB2312" w:eastAsia="仿宋_GB2312" w:cs="仿宋_GB2312"/>
              </w:rPr>
            </w:pPr>
            <w:r>
              <w:rPr>
                <w:rFonts w:hint="eastAsia" w:ascii="仿宋_GB2312" w:hAnsi="仿宋_GB2312" w:eastAsia="仿宋_GB2312" w:cs="仿宋_GB2312"/>
                <w:spacing w:val="-2"/>
              </w:rPr>
              <w:t>刻，七步洗手法，必要时戴手</w:t>
            </w:r>
            <w:r>
              <w:rPr>
                <w:rFonts w:hint="eastAsia" w:ascii="仿宋_GB2312" w:hAnsi="仿宋_GB2312" w:eastAsia="仿宋_GB2312" w:cs="仿宋_GB2312"/>
                <w:spacing w:val="-1"/>
              </w:rPr>
              <w:t>套（护目镜和围裙），为客户</w:t>
            </w:r>
            <w:r>
              <w:rPr>
                <w:rFonts w:hint="eastAsia" w:ascii="仿宋_GB2312" w:hAnsi="仿宋_GB2312" w:eastAsia="仿宋_GB2312" w:cs="仿宋_GB2312"/>
              </w:rPr>
              <w:t>使用保护性材料（屏障）</w:t>
            </w:r>
          </w:p>
        </w:tc>
      </w:tr>
    </w:tbl>
    <w:p>
      <w:pPr>
        <w:ind w:firstLine="560" w:firstLineChars="200"/>
        <w:rPr>
          <w:rFonts w:asciiTheme="minorEastAsia" w:hAnsiTheme="minorEastAsia"/>
          <w:sz w:val="28"/>
          <w:szCs w:val="28"/>
        </w:rPr>
      </w:pPr>
    </w:p>
    <w:tbl>
      <w:tblPr>
        <w:tblStyle w:val="6"/>
        <w:tblpPr w:leftFromText="180" w:rightFromText="180" w:vertAnchor="text" w:horzAnchor="page" w:tblpX="1512" w:tblpY="-366"/>
        <w:tblOverlap w:val="never"/>
        <w:tblW w:w="9455" w:type="dxa"/>
        <w:tblInd w:w="0" w:type="dxa"/>
        <w:tblLayout w:type="fixed"/>
        <w:tblCellMar>
          <w:top w:w="0" w:type="dxa"/>
          <w:left w:w="0" w:type="dxa"/>
          <w:bottom w:w="0" w:type="dxa"/>
          <w:right w:w="0" w:type="dxa"/>
        </w:tblCellMar>
      </w:tblPr>
      <w:tblGrid>
        <w:gridCol w:w="1120"/>
        <w:gridCol w:w="1087"/>
        <w:gridCol w:w="1134"/>
        <w:gridCol w:w="3114"/>
        <w:gridCol w:w="3000"/>
      </w:tblGrid>
      <w:tr>
        <w:tblPrEx>
          <w:tblCellMar>
            <w:top w:w="0" w:type="dxa"/>
            <w:left w:w="0" w:type="dxa"/>
            <w:bottom w:w="0" w:type="dxa"/>
            <w:right w:w="0" w:type="dxa"/>
          </w:tblCellMar>
        </w:tblPrEx>
        <w:trPr>
          <w:trHeight w:val="624" w:hRule="exact"/>
        </w:trPr>
        <w:tc>
          <w:tcPr>
            <w:tcW w:w="1120"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087"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劳动保护</w:t>
            </w:r>
          </w:p>
        </w:tc>
        <w:tc>
          <w:tcPr>
            <w:tcW w:w="30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313" w:lineRule="exact"/>
              <w:ind w:right="1"/>
              <w:rPr>
                <w:rFonts w:ascii="仿宋_GB2312" w:hAnsi="仿宋_GB2312" w:eastAsia="仿宋_GB2312" w:cs="仿宋_GB2312"/>
              </w:rPr>
            </w:pPr>
            <w:r>
              <w:rPr>
                <w:rFonts w:hint="eastAsia" w:ascii="仿宋_GB2312" w:hAnsi="仿宋_GB2312" w:eastAsia="仿宋_GB2312" w:cs="仿宋_GB2312"/>
                <w:spacing w:val="-1"/>
              </w:rPr>
              <w:t>参赛者运用人体力学原理，注</w:t>
            </w:r>
            <w:r>
              <w:rPr>
                <w:rFonts w:hint="eastAsia" w:ascii="仿宋_GB2312" w:hAnsi="仿宋_GB2312" w:eastAsia="仿宋_GB2312" w:cs="仿宋_GB2312"/>
              </w:rPr>
              <w:t>意节力和自身劳动保护。</w:t>
            </w:r>
          </w:p>
        </w:tc>
      </w:tr>
      <w:tr>
        <w:tblPrEx>
          <w:tblCellMar>
            <w:top w:w="0" w:type="dxa"/>
            <w:left w:w="0" w:type="dxa"/>
            <w:bottom w:w="0" w:type="dxa"/>
            <w:right w:w="0" w:type="dxa"/>
          </w:tblCellMar>
        </w:tblPrEx>
        <w:trPr>
          <w:trHeight w:val="624" w:hRule="exact"/>
        </w:trPr>
        <w:tc>
          <w:tcPr>
            <w:tcW w:w="1120"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087"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妥善处理废弃物</w:t>
            </w:r>
          </w:p>
        </w:tc>
        <w:tc>
          <w:tcPr>
            <w:tcW w:w="30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对废弃物进行分类</w:t>
            </w:r>
          </w:p>
        </w:tc>
      </w:tr>
      <w:tr>
        <w:tblPrEx>
          <w:tblCellMar>
            <w:top w:w="0" w:type="dxa"/>
            <w:left w:w="0" w:type="dxa"/>
            <w:bottom w:w="0" w:type="dxa"/>
            <w:right w:w="0" w:type="dxa"/>
          </w:tblCellMar>
        </w:tblPrEx>
        <w:trPr>
          <w:trHeight w:val="624" w:hRule="exact"/>
        </w:trPr>
        <w:tc>
          <w:tcPr>
            <w:tcW w:w="1120"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087"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313" w:lineRule="exact"/>
              <w:rPr>
                <w:rFonts w:ascii="仿宋_GB2312" w:hAnsi="仿宋_GB2312" w:eastAsia="仿宋_GB2312" w:cs="仿宋_GB2312"/>
              </w:rPr>
            </w:pPr>
            <w:r>
              <w:rPr>
                <w:rFonts w:hint="eastAsia" w:ascii="仿宋_GB2312" w:hAnsi="仿宋_GB2312" w:eastAsia="仿宋_GB2312" w:cs="仿宋_GB2312"/>
              </w:rPr>
              <w:t>讨论如何从他人/社会获得帮助</w:t>
            </w:r>
          </w:p>
        </w:tc>
        <w:tc>
          <w:tcPr>
            <w:tcW w:w="30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至少一个建议</w:t>
            </w:r>
          </w:p>
        </w:tc>
      </w:tr>
      <w:tr>
        <w:tblPrEx>
          <w:tblCellMar>
            <w:top w:w="0" w:type="dxa"/>
            <w:left w:w="0" w:type="dxa"/>
            <w:bottom w:w="0" w:type="dxa"/>
            <w:right w:w="0" w:type="dxa"/>
          </w:tblCellMar>
        </w:tblPrEx>
        <w:trPr>
          <w:trHeight w:val="624" w:hRule="exact"/>
        </w:trPr>
        <w:tc>
          <w:tcPr>
            <w:tcW w:w="1120"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087"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313" w:lineRule="exact"/>
              <w:rPr>
                <w:rFonts w:ascii="仿宋_GB2312" w:hAnsi="仿宋_GB2312" w:eastAsia="仿宋_GB2312" w:cs="仿宋_GB2312"/>
              </w:rPr>
            </w:pPr>
            <w:r>
              <w:rPr>
                <w:rFonts w:hint="eastAsia" w:ascii="仿宋_GB2312" w:hAnsi="仿宋_GB2312" w:eastAsia="仿宋_GB2312" w:cs="仿宋_GB2312"/>
              </w:rPr>
              <w:t>参赛者提出相关健康指导</w:t>
            </w:r>
          </w:p>
        </w:tc>
        <w:tc>
          <w:tcPr>
            <w:tcW w:w="30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rPr>
                <w:rFonts w:ascii="仿宋_GB2312" w:hAnsi="仿宋_GB2312" w:eastAsia="仿宋_GB2312" w:cs="仿宋_GB2312"/>
              </w:rPr>
            </w:pPr>
            <w:r>
              <w:rPr>
                <w:rFonts w:hint="eastAsia" w:ascii="仿宋_GB2312" w:hAnsi="仿宋_GB2312" w:eastAsia="仿宋_GB2312" w:cs="仿宋_GB2312"/>
              </w:rPr>
              <w:t>至少3-5个主题健康教育</w:t>
            </w:r>
          </w:p>
        </w:tc>
      </w:tr>
      <w:tr>
        <w:tblPrEx>
          <w:tblCellMar>
            <w:top w:w="0" w:type="dxa"/>
            <w:left w:w="0" w:type="dxa"/>
            <w:bottom w:w="0" w:type="dxa"/>
            <w:right w:w="0" w:type="dxa"/>
          </w:tblCellMar>
        </w:tblPrEx>
        <w:trPr>
          <w:trHeight w:val="624" w:hRule="exact"/>
        </w:trPr>
        <w:tc>
          <w:tcPr>
            <w:tcW w:w="1120"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087"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ind w:left="21"/>
              <w:rPr>
                <w:rFonts w:ascii="仿宋_GB2312" w:hAnsi="仿宋_GB2312" w:eastAsia="仿宋_GB2312" w:cs="仿宋_GB2312"/>
              </w:rPr>
            </w:pPr>
            <w:r>
              <w:rPr>
                <w:rFonts w:hint="eastAsia" w:ascii="仿宋_GB2312" w:hAnsi="仿宋_GB2312" w:eastAsia="仿宋_GB2312" w:cs="仿宋_GB2312"/>
              </w:rPr>
              <w:t>对法律、法规、公约、标准等有无违反的言行</w:t>
            </w:r>
          </w:p>
        </w:tc>
        <w:tc>
          <w:tcPr>
            <w:tcW w:w="30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rPr>
                <w:rFonts w:ascii="仿宋_GB2312" w:hAnsi="仿宋_GB2312" w:eastAsia="仿宋_GB2312" w:cs="仿宋_GB2312"/>
              </w:rPr>
            </w:pPr>
            <w:r>
              <w:rPr>
                <w:rFonts w:hint="eastAsia" w:ascii="仿宋_GB2312" w:hAnsi="仿宋_GB2312" w:eastAsia="仿宋_GB2312" w:cs="仿宋_GB2312"/>
              </w:rPr>
              <w:t>出现任何错误，零分</w:t>
            </w:r>
          </w:p>
        </w:tc>
      </w:tr>
      <w:tr>
        <w:tblPrEx>
          <w:tblCellMar>
            <w:top w:w="0" w:type="dxa"/>
            <w:left w:w="0" w:type="dxa"/>
            <w:bottom w:w="0" w:type="dxa"/>
            <w:right w:w="0" w:type="dxa"/>
          </w:tblCellMar>
        </w:tblPrEx>
        <w:trPr>
          <w:trHeight w:val="624" w:hRule="exact"/>
        </w:trPr>
        <w:tc>
          <w:tcPr>
            <w:tcW w:w="1120"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087"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J</w:t>
            </w:r>
          </w:p>
        </w:tc>
        <w:tc>
          <w:tcPr>
            <w:tcW w:w="31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共情沟通，积极倾听</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624" w:hRule="exact"/>
        </w:trPr>
        <w:tc>
          <w:tcPr>
            <w:tcW w:w="1120"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087"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按时完成所有任务</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sz w:val="24"/>
                <w:szCs w:val="24"/>
              </w:rPr>
            </w:pPr>
          </w:p>
        </w:tc>
      </w:tr>
    </w:tbl>
    <w:tbl>
      <w:tblPr>
        <w:tblStyle w:val="6"/>
        <w:tblpPr w:leftFromText="180" w:rightFromText="180" w:vertAnchor="text" w:horzAnchor="page" w:tblpX="1511" w:tblpY="-366"/>
        <w:tblOverlap w:val="never"/>
        <w:tblW w:w="9179" w:type="dxa"/>
        <w:tblInd w:w="0" w:type="dxa"/>
        <w:tblLayout w:type="fixed"/>
        <w:tblCellMar>
          <w:top w:w="0" w:type="dxa"/>
          <w:left w:w="0" w:type="dxa"/>
          <w:bottom w:w="0" w:type="dxa"/>
          <w:right w:w="0" w:type="dxa"/>
        </w:tblCellMar>
      </w:tblPr>
      <w:tblGrid>
        <w:gridCol w:w="1044"/>
        <w:gridCol w:w="1120"/>
        <w:gridCol w:w="1033"/>
        <w:gridCol w:w="2604"/>
        <w:gridCol w:w="3378"/>
      </w:tblGrid>
      <w:tr>
        <w:tblPrEx>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A3</w:t>
            </w:r>
          </w:p>
        </w:tc>
        <w:tc>
          <w:tcPr>
            <w:tcW w:w="112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111"/>
              <w:jc w:val="both"/>
              <w:rPr>
                <w:rFonts w:ascii="仿宋_GB2312" w:hAnsi="仿宋_GB2312" w:eastAsia="仿宋_GB2312" w:cs="仿宋_GB2312"/>
              </w:rPr>
            </w:pPr>
            <w:r>
              <w:rPr>
                <w:rFonts w:hint="eastAsia" w:ascii="仿宋_GB2312" w:hAnsi="仿宋_GB2312" w:eastAsia="仿宋_GB2312" w:cs="仿宋_GB2312"/>
              </w:rPr>
              <w:t>**海报</w:t>
            </w:r>
          </w:p>
        </w:tc>
        <w:tc>
          <w:tcPr>
            <w:tcW w:w="1033"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260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3378"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both"/>
              <w:rPr>
                <w:rFonts w:ascii="仿宋_GB2312" w:hAnsi="仿宋_GB2312" w:eastAsia="仿宋_GB2312" w:cs="仿宋_GB2312"/>
              </w:rPr>
            </w:pPr>
            <w:r>
              <w:rPr>
                <w:rFonts w:hint="eastAsia" w:ascii="仿宋_GB2312" w:hAnsi="仿宋_GB2312" w:eastAsia="仿宋_GB2312" w:cs="仿宋_GB2312"/>
              </w:rPr>
              <w:t>字体足够大，1米外可</w:t>
            </w:r>
          </w:p>
          <w:p>
            <w:pPr>
              <w:pStyle w:val="11"/>
              <w:kinsoku w:val="0"/>
              <w:overflowPunct w:val="0"/>
              <w:spacing w:line="313" w:lineRule="exact"/>
              <w:jc w:val="both"/>
              <w:rPr>
                <w:rFonts w:ascii="仿宋_GB2312" w:hAnsi="仿宋_GB2312" w:eastAsia="仿宋_GB2312" w:cs="仿宋_GB2312"/>
              </w:rPr>
            </w:pPr>
            <w:r>
              <w:rPr>
                <w:rFonts w:hint="eastAsia" w:ascii="仿宋_GB2312" w:hAnsi="仿宋_GB2312" w:eastAsia="仿宋_GB2312" w:cs="仿宋_GB2312"/>
              </w:rPr>
              <w:t>看到</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文字高度至少1.5cm</w:t>
            </w:r>
          </w:p>
        </w:tc>
      </w:tr>
      <w:tr>
        <w:tblPrEx>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jc w:val="both"/>
              <w:rPr>
                <w:rFonts w:ascii="仿宋_GB2312" w:hAnsi="仿宋_GB2312" w:eastAsia="仿宋_GB2312" w:cs="仿宋_GB2312"/>
              </w:rPr>
            </w:pPr>
            <w:r>
              <w:rPr>
                <w:rFonts w:hint="eastAsia" w:ascii="仿宋_GB2312" w:hAnsi="仿宋_GB2312" w:eastAsia="仿宋_GB2312" w:cs="仿宋_GB2312"/>
              </w:rPr>
              <w:t>字迹清晰</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jc w:val="both"/>
              <w:rPr>
                <w:rFonts w:ascii="仿宋_GB2312" w:hAnsi="仿宋_GB2312" w:eastAsia="仿宋_GB2312" w:cs="仿宋_GB2312"/>
              </w:rPr>
            </w:pPr>
            <w:r>
              <w:rPr>
                <w:rFonts w:hint="eastAsia" w:ascii="仿宋_GB2312" w:hAnsi="仿宋_GB2312" w:eastAsia="仿宋_GB2312" w:cs="仿宋_GB2312"/>
              </w:rPr>
              <w:t>海报没有修改和删除</w:t>
            </w:r>
          </w:p>
        </w:tc>
      </w:tr>
      <w:tr>
        <w:tblPrEx>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至少使用4种不同颜色</w:t>
            </w:r>
          </w:p>
        </w:tc>
        <w:tc>
          <w:tcPr>
            <w:tcW w:w="3378"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both"/>
              <w:rPr>
                <w:rFonts w:ascii="仿宋_GB2312" w:hAnsi="仿宋_GB2312" w:eastAsia="仿宋_GB2312" w:cs="仿宋_GB2312"/>
              </w:rPr>
            </w:pPr>
            <w:r>
              <w:rPr>
                <w:rFonts w:hint="eastAsia" w:ascii="仿宋_GB2312" w:hAnsi="仿宋_GB2312" w:eastAsia="仿宋_GB2312" w:cs="仿宋_GB2312"/>
              </w:rPr>
              <w:t>绘制元素多于书写元素</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至少三个绘制元素</w:t>
            </w:r>
          </w:p>
        </w:tc>
      </w:tr>
      <w:tr>
        <w:tblPrEx>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文字简短易懂</w:t>
            </w:r>
          </w:p>
        </w:tc>
        <w:tc>
          <w:tcPr>
            <w:tcW w:w="3378"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both"/>
              <w:rPr>
                <w:rFonts w:ascii="仿宋_GB2312" w:hAnsi="仿宋_GB2312" w:eastAsia="仿宋_GB2312" w:cs="仿宋_GB2312"/>
              </w:rPr>
            </w:pPr>
            <w:r>
              <w:rPr>
                <w:rFonts w:hint="eastAsia" w:ascii="仿宋_GB2312" w:hAnsi="仿宋_GB2312" w:eastAsia="仿宋_GB2312" w:cs="仿宋_GB2312"/>
              </w:rPr>
              <w:t>疾病或是健康教育信</w:t>
            </w:r>
          </w:p>
          <w:p>
            <w:pPr>
              <w:pStyle w:val="11"/>
              <w:kinsoku w:val="0"/>
              <w:overflowPunct w:val="0"/>
              <w:spacing w:line="313" w:lineRule="exact"/>
              <w:jc w:val="both"/>
              <w:rPr>
                <w:rFonts w:ascii="仿宋_GB2312" w:hAnsi="仿宋_GB2312" w:eastAsia="仿宋_GB2312" w:cs="仿宋_GB2312"/>
              </w:rPr>
            </w:pPr>
            <w:r>
              <w:rPr>
                <w:rFonts w:hint="eastAsia" w:ascii="仿宋_GB2312" w:hAnsi="仿宋_GB2312" w:eastAsia="仿宋_GB2312" w:cs="仿宋_GB2312"/>
              </w:rPr>
              <w:t>息清晰易懂</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4个主题得最高分</w:t>
            </w:r>
          </w:p>
        </w:tc>
      </w:tr>
      <w:tr>
        <w:tblPrEx>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避免诱发因素信息</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4个最高分</w:t>
            </w:r>
          </w:p>
        </w:tc>
      </w:tr>
      <w:tr>
        <w:tblPrEx>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jc w:val="center"/>
              <w:rPr>
                <w:rFonts w:ascii="仿宋_GB2312" w:hAnsi="仿宋_GB2312" w:eastAsia="仿宋_GB2312" w:cs="仿宋_GB2312"/>
              </w:rPr>
            </w:pPr>
            <w:r>
              <w:rPr>
                <w:rFonts w:hint="eastAsia" w:ascii="仿宋_GB2312" w:hAnsi="仿宋_GB2312" w:eastAsia="仿宋_GB2312" w:cs="仿宋_GB2312"/>
              </w:rPr>
              <w:t>A3</w:t>
            </w:r>
          </w:p>
        </w:tc>
        <w:tc>
          <w:tcPr>
            <w:tcW w:w="112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7" w:lineRule="exact"/>
              <w:jc w:val="both"/>
              <w:rPr>
                <w:rFonts w:ascii="仿宋_GB2312" w:hAnsi="仿宋_GB2312" w:eastAsia="仿宋_GB2312" w:cs="仿宋_GB2312"/>
              </w:rPr>
            </w:pPr>
            <w:r>
              <w:rPr>
                <w:rFonts w:hint="eastAsia" w:ascii="仿宋_GB2312" w:hAnsi="仿宋_GB2312" w:eastAsia="仿宋_GB2312" w:cs="仿宋_GB2312"/>
              </w:rPr>
              <w:t>**反思</w:t>
            </w:r>
          </w:p>
          <w:p>
            <w:pPr>
              <w:pStyle w:val="11"/>
              <w:kinsoku w:val="0"/>
              <w:overflowPunct w:val="0"/>
              <w:spacing w:line="313" w:lineRule="exact"/>
              <w:jc w:val="both"/>
              <w:rPr>
                <w:rFonts w:ascii="仿宋_GB2312" w:hAnsi="仿宋_GB2312" w:eastAsia="仿宋_GB2312" w:cs="仿宋_GB2312"/>
              </w:rPr>
            </w:pPr>
            <w:r>
              <w:rPr>
                <w:rFonts w:hint="eastAsia" w:ascii="仿宋_GB2312" w:hAnsi="仿宋_GB2312" w:eastAsia="仿宋_GB2312" w:cs="仿宋_GB2312"/>
              </w:rPr>
              <w:t>报告</w:t>
            </w:r>
          </w:p>
        </w:tc>
        <w:tc>
          <w:tcPr>
            <w:tcW w:w="1033"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260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3378"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r>
      <w:tr>
        <w:tblPrEx>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9"/>
              <w:jc w:val="both"/>
              <w:rPr>
                <w:rFonts w:ascii="仿宋_GB2312" w:hAnsi="仿宋_GB2312" w:eastAsia="仿宋_GB2312" w:cs="仿宋_GB2312"/>
              </w:rPr>
            </w:pPr>
          </w:p>
          <w:p>
            <w:pPr>
              <w:pStyle w:val="11"/>
              <w:kinsoku w:val="0"/>
              <w:overflowPunct w:val="0"/>
              <w:jc w:val="both"/>
              <w:rPr>
                <w:rFonts w:ascii="仿宋_GB2312" w:hAnsi="仿宋_GB2312" w:eastAsia="仿宋_GB2312" w:cs="仿宋_GB2312"/>
              </w:rPr>
            </w:pPr>
            <w:r>
              <w:rPr>
                <w:rFonts w:hint="eastAsia" w:ascii="仿宋_GB2312" w:hAnsi="仿宋_GB2312" w:eastAsia="仿宋_GB2312" w:cs="仿宋_GB2312"/>
              </w:rPr>
              <w:t>描述</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ind w:right="1"/>
              <w:jc w:val="both"/>
              <w:rPr>
                <w:rFonts w:ascii="仿宋_GB2312" w:hAnsi="仿宋_GB2312" w:eastAsia="仿宋_GB2312" w:cs="仿宋_GB2312"/>
              </w:rPr>
            </w:pPr>
            <w:r>
              <w:rPr>
                <w:rFonts w:hint="eastAsia" w:ascii="仿宋_GB2312" w:hAnsi="仿宋_GB2312" w:eastAsia="仿宋_GB2312" w:cs="仿宋_GB2312"/>
              </w:rPr>
              <w:t>描述在本项目中某一个你需</w:t>
            </w:r>
          </w:p>
          <w:p>
            <w:pPr>
              <w:pStyle w:val="11"/>
              <w:kinsoku w:val="0"/>
              <w:overflowPunct w:val="0"/>
              <w:spacing w:before="29" w:line="312" w:lineRule="exact"/>
              <w:ind w:left="102" w:right="100"/>
              <w:jc w:val="both"/>
              <w:rPr>
                <w:rFonts w:ascii="仿宋_GB2312" w:hAnsi="仿宋_GB2312" w:eastAsia="仿宋_GB2312" w:cs="仿宋_GB2312"/>
              </w:rPr>
            </w:pPr>
            <w:r>
              <w:rPr>
                <w:rFonts w:hint="eastAsia" w:ascii="仿宋_GB2312" w:hAnsi="仿宋_GB2312" w:eastAsia="仿宋_GB2312" w:cs="仿宋_GB2312"/>
                <w:spacing w:val="-1"/>
              </w:rPr>
              <w:t>要反思的学习事件，描述发生</w:t>
            </w:r>
            <w:r>
              <w:rPr>
                <w:rFonts w:hint="eastAsia" w:ascii="仿宋_GB2312" w:hAnsi="仿宋_GB2312" w:eastAsia="仿宋_GB2312" w:cs="仿宋_GB2312"/>
              </w:rPr>
              <w:t>了什么</w:t>
            </w:r>
          </w:p>
        </w:tc>
      </w:tr>
      <w:tr>
        <w:tblPrEx>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both"/>
              <w:rPr>
                <w:rFonts w:ascii="仿宋_GB2312" w:hAnsi="仿宋_GB2312" w:eastAsia="仿宋_GB2312" w:cs="仿宋_GB2312"/>
              </w:rPr>
            </w:pPr>
            <w:r>
              <w:rPr>
                <w:rFonts w:hint="eastAsia" w:ascii="仿宋_GB2312" w:hAnsi="仿宋_GB2312" w:eastAsia="仿宋_GB2312" w:cs="仿宋_GB2312"/>
              </w:rPr>
              <w:t>感受1</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both"/>
              <w:rPr>
                <w:rFonts w:ascii="仿宋_GB2312" w:hAnsi="仿宋_GB2312" w:eastAsia="仿宋_GB2312" w:cs="仿宋_GB2312"/>
                <w:spacing w:val="-1"/>
              </w:rPr>
            </w:pPr>
            <w:r>
              <w:rPr>
                <w:rFonts w:hint="eastAsia" w:ascii="仿宋_GB2312" w:hAnsi="仿宋_GB2312" w:eastAsia="仿宋_GB2312" w:cs="仿宋_GB2312"/>
                <w:spacing w:val="-1"/>
              </w:rPr>
              <w:t>在这一学习事件过程中，你有</w:t>
            </w:r>
          </w:p>
          <w:p>
            <w:pPr>
              <w:pStyle w:val="11"/>
              <w:kinsoku w:val="0"/>
              <w:overflowPunct w:val="0"/>
              <w:spacing w:line="313" w:lineRule="exact"/>
              <w:ind w:right="1"/>
              <w:jc w:val="both"/>
              <w:rPr>
                <w:rFonts w:ascii="仿宋_GB2312" w:hAnsi="仿宋_GB2312" w:eastAsia="仿宋_GB2312" w:cs="仿宋_GB2312"/>
              </w:rPr>
            </w:pPr>
            <w:r>
              <w:rPr>
                <w:rFonts w:hint="eastAsia" w:ascii="仿宋_GB2312" w:hAnsi="仿宋_GB2312" w:eastAsia="仿宋_GB2312" w:cs="仿宋_GB2312"/>
              </w:rPr>
              <w:t>感受和想法？</w:t>
            </w:r>
          </w:p>
        </w:tc>
      </w:tr>
      <w:tr>
        <w:tblPrEx>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both"/>
              <w:rPr>
                <w:rFonts w:ascii="仿宋_GB2312" w:hAnsi="仿宋_GB2312" w:eastAsia="仿宋_GB2312" w:cs="仿宋_GB2312"/>
              </w:rPr>
            </w:pPr>
            <w:r>
              <w:rPr>
                <w:rFonts w:hint="eastAsia" w:ascii="仿宋_GB2312" w:hAnsi="仿宋_GB2312" w:eastAsia="仿宋_GB2312" w:cs="仿宋_GB2312"/>
              </w:rPr>
              <w:t>感受2</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both"/>
              <w:rPr>
                <w:rFonts w:ascii="仿宋_GB2312" w:hAnsi="仿宋_GB2312" w:eastAsia="仿宋_GB2312" w:cs="仿宋_GB2312"/>
                <w:spacing w:val="-1"/>
              </w:rPr>
            </w:pPr>
            <w:r>
              <w:rPr>
                <w:rFonts w:hint="eastAsia" w:ascii="仿宋_GB2312" w:hAnsi="仿宋_GB2312" w:eastAsia="仿宋_GB2312" w:cs="仿宋_GB2312"/>
                <w:spacing w:val="-1"/>
              </w:rPr>
              <w:t>在这一学习事件过程中，你采</w:t>
            </w:r>
          </w:p>
          <w:p>
            <w:pPr>
              <w:pStyle w:val="11"/>
              <w:kinsoku w:val="0"/>
              <w:overflowPunct w:val="0"/>
              <w:spacing w:line="313" w:lineRule="exact"/>
              <w:ind w:right="1"/>
              <w:jc w:val="both"/>
              <w:rPr>
                <w:rFonts w:ascii="仿宋_GB2312" w:hAnsi="仿宋_GB2312" w:eastAsia="仿宋_GB2312" w:cs="仿宋_GB2312"/>
              </w:rPr>
            </w:pPr>
            <w:r>
              <w:rPr>
                <w:rFonts w:hint="eastAsia" w:ascii="仿宋_GB2312" w:hAnsi="仿宋_GB2312" w:eastAsia="仿宋_GB2312" w:cs="仿宋_GB2312"/>
              </w:rPr>
              <w:t>取什么样的行动去应对的？</w:t>
            </w:r>
          </w:p>
        </w:tc>
      </w:tr>
      <w:tr>
        <w:tblPrEx>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both"/>
              <w:rPr>
                <w:rFonts w:ascii="仿宋_GB2312" w:hAnsi="仿宋_GB2312" w:eastAsia="仿宋_GB2312" w:cs="仿宋_GB2312"/>
              </w:rPr>
            </w:pPr>
            <w:r>
              <w:rPr>
                <w:rFonts w:hint="eastAsia" w:ascii="仿宋_GB2312" w:hAnsi="仿宋_GB2312" w:eastAsia="仿宋_GB2312" w:cs="仿宋_GB2312"/>
              </w:rPr>
              <w:t>评价1</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both"/>
              <w:rPr>
                <w:rFonts w:ascii="仿宋_GB2312" w:hAnsi="仿宋_GB2312" w:eastAsia="仿宋_GB2312" w:cs="仿宋_GB2312"/>
                <w:spacing w:val="-1"/>
              </w:rPr>
            </w:pPr>
            <w:r>
              <w:rPr>
                <w:rFonts w:hint="eastAsia" w:ascii="仿宋_GB2312" w:hAnsi="仿宋_GB2312" w:eastAsia="仿宋_GB2312" w:cs="仿宋_GB2312"/>
                <w:spacing w:val="-1"/>
              </w:rPr>
              <w:t>在这个学习事件中，好的方面</w:t>
            </w:r>
          </w:p>
          <w:p>
            <w:pPr>
              <w:pStyle w:val="11"/>
              <w:kinsoku w:val="0"/>
              <w:overflowPunct w:val="0"/>
              <w:spacing w:line="313" w:lineRule="exact"/>
              <w:ind w:right="1"/>
              <w:jc w:val="both"/>
              <w:rPr>
                <w:rFonts w:ascii="仿宋_GB2312" w:hAnsi="仿宋_GB2312" w:eastAsia="仿宋_GB2312" w:cs="仿宋_GB2312"/>
              </w:rPr>
            </w:pPr>
            <w:r>
              <w:rPr>
                <w:rFonts w:hint="eastAsia" w:ascii="仿宋_GB2312" w:hAnsi="仿宋_GB2312" w:eastAsia="仿宋_GB2312" w:cs="仿宋_GB2312"/>
              </w:rPr>
              <w:t>有哪些？好的体验有哪些？</w:t>
            </w:r>
          </w:p>
        </w:tc>
      </w:tr>
      <w:tr>
        <w:tblPrEx>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9"/>
              <w:jc w:val="both"/>
              <w:rPr>
                <w:rFonts w:ascii="仿宋_GB2312" w:hAnsi="仿宋_GB2312" w:eastAsia="仿宋_GB2312" w:cs="仿宋_GB2312"/>
              </w:rPr>
            </w:pPr>
          </w:p>
          <w:p>
            <w:pPr>
              <w:pStyle w:val="11"/>
              <w:kinsoku w:val="0"/>
              <w:overflowPunct w:val="0"/>
              <w:jc w:val="both"/>
              <w:rPr>
                <w:rFonts w:ascii="仿宋_GB2312" w:hAnsi="仿宋_GB2312" w:eastAsia="仿宋_GB2312" w:cs="仿宋_GB2312"/>
              </w:rPr>
            </w:pPr>
            <w:r>
              <w:rPr>
                <w:rFonts w:hint="eastAsia" w:ascii="仿宋_GB2312" w:hAnsi="仿宋_GB2312" w:eastAsia="仿宋_GB2312" w:cs="仿宋_GB2312"/>
              </w:rPr>
              <w:t>评价2</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both"/>
              <w:rPr>
                <w:rFonts w:ascii="仿宋_GB2312" w:hAnsi="仿宋_GB2312" w:eastAsia="仿宋_GB2312" w:cs="仿宋_GB2312"/>
              </w:rPr>
            </w:pPr>
            <w:r>
              <w:rPr>
                <w:rFonts w:hint="eastAsia" w:ascii="仿宋_GB2312" w:hAnsi="仿宋_GB2312" w:eastAsia="仿宋_GB2312" w:cs="仿宋_GB2312"/>
                <w:spacing w:val="-1"/>
              </w:rPr>
              <w:t>在这个学习事件中，你有什</w:t>
            </w:r>
            <w:r>
              <w:rPr>
                <w:rFonts w:hint="eastAsia" w:ascii="仿宋_GB2312" w:hAnsi="仿宋_GB2312" w:eastAsia="仿宋_GB2312" w:cs="仿宋_GB2312"/>
              </w:rPr>
              <w:t>问题/困难？不足的方面在哪里？</w:t>
            </w:r>
          </w:p>
        </w:tc>
      </w:tr>
      <w:tr>
        <w:tblPrEx>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9"/>
              <w:jc w:val="both"/>
              <w:rPr>
                <w:rFonts w:ascii="仿宋_GB2312" w:hAnsi="仿宋_GB2312" w:eastAsia="仿宋_GB2312" w:cs="仿宋_GB2312"/>
              </w:rPr>
            </w:pPr>
            <w:r>
              <w:rPr>
                <w:rFonts w:hint="eastAsia" w:ascii="仿宋_GB2312" w:hAnsi="仿宋_GB2312" w:eastAsia="仿宋_GB2312" w:cs="仿宋_GB2312"/>
              </w:rPr>
              <w:t>分析</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7" w:lineRule="exact"/>
              <w:jc w:val="both"/>
              <w:rPr>
                <w:rFonts w:ascii="仿宋_GB2312" w:hAnsi="仿宋_GB2312" w:eastAsia="仿宋_GB2312" w:cs="仿宋_GB2312"/>
              </w:rPr>
            </w:pPr>
            <w:r>
              <w:rPr>
                <w:rFonts w:hint="eastAsia" w:ascii="仿宋_GB2312" w:hAnsi="仿宋_GB2312" w:eastAsia="仿宋_GB2312" w:cs="仿宋_GB2312"/>
              </w:rPr>
              <w:t>为什么会出现这些问题/困难？</w:t>
            </w:r>
          </w:p>
        </w:tc>
      </w:tr>
      <w:tr>
        <w:tblPrEx>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总结</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你还能做什么？</w:t>
            </w:r>
          </w:p>
        </w:tc>
      </w:tr>
      <w:tr>
        <w:tblPrEx>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both"/>
              <w:rPr>
                <w:rFonts w:ascii="仿宋_GB2312" w:hAnsi="仿宋_GB2312" w:eastAsia="仿宋_GB2312" w:cs="仿宋_GB2312"/>
              </w:rPr>
            </w:pPr>
            <w:r>
              <w:rPr>
                <w:rFonts w:hint="eastAsia" w:ascii="仿宋_GB2312" w:hAnsi="仿宋_GB2312" w:eastAsia="仿宋_GB2312" w:cs="仿宋_GB2312"/>
              </w:rPr>
              <w:t>提升计划1</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both"/>
              <w:rPr>
                <w:rFonts w:ascii="仿宋_GB2312" w:hAnsi="仿宋_GB2312" w:eastAsia="仿宋_GB2312" w:cs="仿宋_GB2312"/>
              </w:rPr>
            </w:pPr>
            <w:r>
              <w:rPr>
                <w:rFonts w:hint="eastAsia" w:ascii="仿宋_GB2312" w:hAnsi="仿宋_GB2312" w:eastAsia="仿宋_GB2312" w:cs="仿宋_GB2312"/>
              </w:rPr>
              <w:t>你将采取哪些措施去改进和</w:t>
            </w:r>
          </w:p>
          <w:p>
            <w:pPr>
              <w:pStyle w:val="11"/>
              <w:kinsoku w:val="0"/>
              <w:overflowPunct w:val="0"/>
              <w:spacing w:line="313" w:lineRule="exact"/>
              <w:jc w:val="both"/>
              <w:rPr>
                <w:rFonts w:ascii="仿宋_GB2312" w:hAnsi="仿宋_GB2312" w:eastAsia="仿宋_GB2312" w:cs="仿宋_GB2312"/>
              </w:rPr>
            </w:pPr>
            <w:r>
              <w:rPr>
                <w:rFonts w:hint="eastAsia" w:ascii="仿宋_GB2312" w:hAnsi="仿宋_GB2312" w:eastAsia="仿宋_GB2312" w:cs="仿宋_GB2312"/>
              </w:rPr>
              <w:t>提升？去克服困难和问题？</w:t>
            </w:r>
          </w:p>
        </w:tc>
      </w:tr>
      <w:tr>
        <w:tblPrEx>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提升计划2</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如果类似的事情再发生一次，</w:t>
            </w:r>
          </w:p>
        </w:tc>
      </w:tr>
    </w:tbl>
    <w:p>
      <w:pPr>
        <w:ind w:firstLine="562" w:firstLineChars="200"/>
        <w:rPr>
          <w:rFonts w:asciiTheme="minorEastAsia" w:hAnsiTheme="minorEastAsia"/>
          <w:b/>
          <w:sz w:val="28"/>
          <w:szCs w:val="28"/>
        </w:rPr>
      </w:pP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（三）评分流程说明</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在各个模块中，动手操作能力和沟通交流能力在现场操作过程评分，文字部分在选手完成后递交，裁判根据结果进行评分；计时倒数5分钟提醒，倒计时为0即停止比赛，未完成部分不得分。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评分时，每个模块100分，包括一份照护计划10分、实际照护80分、健康教育海报或反思报告10分。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评分采用纸质版评分表，所有裁判完成工作签名后，由大赛执委会指定专人核定分数，输入电脑系统进行统计。</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（四）评分结果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1.评分结果经监督人员复核两遍无误后，由裁判长、监督人员和仲裁人员签字确认。</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2.抽检复核</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（1）为保障成绩评判的准确性，监督组对赛项总成绩排名前30%的所有参赛选手的成绩进行复核；对其余成绩进行抽检复核，抽检覆盖率不低于15%。</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（2）监督组须将复检中发现的错误以书面方式及时告知裁判长，由裁判长更正成绩并签字确认。</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（3）复核、抽检错误率超过5%的，则认定为非小概率事件，裁判组须对所有成绩进行复核。</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3.解密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裁判长正式提交评分结果并复核无误后，加密裁判在监督人员监督下对加密结果进行逐层解密。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4.公布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记分员将解密后的各参赛选手成绩汇总成最终成绩单，经裁判长、监督组签字后进行排名。确定无异议后，由仲裁长和监督组长在排名单上签字，并在闭幕式上公布排名。</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5.成绩报送</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（1）录入。由承办单位信息员将赛项总成绩的最终结果录入赛务管理系统。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（2）审核。承办单位信息员对成绩数据审核后，将赛务系统中录入的成绩导出打印，经赛项裁判长审核无误后签字。</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（3）报送。由承办单位信息员将裁判长确认的电子版赛项成绩信息上传赛务管理系统，同时将裁判长签字的纸质打印成绩单报送大赛执委会办公室。</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6.留档备案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（1）成绩分析。为了做好赛项资源向教学资源转化工作，专家工作组根据裁判判分情况，分析参赛选手在比赛过程中对各个知识点、技术的掌握程度，并将分析报告报备大赛执委会办公室适时公布。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（2）留档备案。赛项每个比赛环节裁判判分的原始材料和最终成绩等结果性材料都经监督组人员和裁判长签字后装袋密封留档，由大赛执委会办公室指定封存，委派专人妥善保管。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7.成绩使用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大赛最终名次由大赛组委会秘书处公布，任何组织和个人不得擅自对大赛成绩进行涂改、伪造或用于欺诈等违法犯罪活动。</w:t>
      </w:r>
    </w:p>
    <w:p>
      <w:pPr>
        <w:ind w:firstLine="600" w:firstLineChars="200"/>
        <w:rPr>
          <w:rFonts w:ascii="黑体" w:hAnsi="黑体" w:eastAsia="黑体" w:cs="黑体"/>
          <w:bCs/>
          <w:sz w:val="30"/>
          <w:szCs w:val="30"/>
        </w:rPr>
      </w:pPr>
      <w:r>
        <w:rPr>
          <w:rFonts w:hint="eastAsia" w:ascii="黑体" w:hAnsi="黑体" w:eastAsia="黑体" w:cs="黑体"/>
          <w:bCs/>
          <w:sz w:val="30"/>
          <w:szCs w:val="30"/>
        </w:rPr>
        <w:t>十二、奖项设定</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设个人奖、团体奖、优秀指导教师奖、优秀组织奖。个人奖按照模块设奖，获奖等次与比例分别为：一等奖15%，二等奖25%，三等奖45%，优秀奖15%；团体奖以各校4名参赛选手的总成绩之和排序，获奖等次与比例分别为：一等奖15%，二等奖25%，三等奖45%；对在竞赛中荣获一、二等奖选手的指导教师，颁发优秀指导教师奖（每位选手只限1名指导教师）。对组织工作做得好的学校，颁发优秀组织奖。</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获团体第一名的院校推荐1名学生代表河南省参加2020年全国职业院校技能大赛改革试点赛（高职组）健康与社会照护项目赛。</w:t>
      </w:r>
    </w:p>
    <w:p>
      <w:pPr>
        <w:ind w:firstLine="600" w:firstLineChars="200"/>
        <w:rPr>
          <w:rFonts w:ascii="黑体" w:hAnsi="黑体" w:eastAsia="黑体" w:cs="黑体"/>
          <w:bCs/>
          <w:sz w:val="30"/>
          <w:szCs w:val="30"/>
        </w:rPr>
      </w:pPr>
      <w:r>
        <w:rPr>
          <w:rFonts w:hint="eastAsia" w:ascii="黑体" w:hAnsi="黑体" w:eastAsia="黑体" w:cs="黑体"/>
          <w:bCs/>
          <w:sz w:val="30"/>
          <w:szCs w:val="30"/>
        </w:rPr>
        <w:t>十三、赛场预案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竞赛期间发生意外事故，发现者应第一时间报告执委会，同时采取措施避免事态扩大。执委会应立即启动预案予以解决并报告组委会办公室，事后执委会应向组委会报告详细情况。</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（一）管理方面</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1.加强领导，健全组织，强化安全重要性，完善各项措施落实。</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2.对参赛选手进行安全教育。</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3.注意食品安全与水的安全，关注天气状况，必要时备好雨伞或雨衣。</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4.赛场配有安保人员，确保无关人等不得进入赛场。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遭遇突发火灾时，现场第一发现人、防火责任区责任人应迅速向大赛安全防火委员会报告，向消防部门119报警。信息发布组第一时间向上级领导部门通报情况。通知应急处理小组在最快时间内到达事故现场，分楼层按照安全指示标记有序疏散人员，协助火场人员迅速有序逃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6.赛场指定区域配备救护车和医护人员以及相应的药品，现场不能处理的及时送120急救中心。</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（二）赛事应急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1.物品耗材紧缺应急：对参赛选手备赛中客观上出现所需备赛物品数量不足或结构性紧缺时，现场组工作人员需从备用仓库中及时取出备用物品和耗材，保证选手备物所需。</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赛事过程出现问题应急：①竞赛过程中如果试卷出现缺页、字迹模糊等异常现象，由参赛选手应第一时间举手示意，裁判长确认后回应处理。②对竞赛过程中出现的问题，如参赛选手使用设备、工具的方法明显错误、个人信息泄露等，且会直接影响到选手的操作得分时，由裁判组现场及时制止，报裁判长同意后停止参赛选手本操作项目比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3.赛后出现问题应急：对参赛选手竞赛后出现的不正常现象，如精神颓废、情绪低落等，及时给予心理疏导，并告知领队及指导老师时刻关注，避免不必要的悲剧发生。</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（三）其它方面管理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因停电、停水和非人为因素造成设备故障，经裁判长确认后，参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赛选手可暂停比赛，视解决情况所需时间长短，决定延续或调整比赛时间。</w:t>
      </w:r>
    </w:p>
    <w:p>
      <w:pPr>
        <w:ind w:firstLine="600" w:firstLineChars="200"/>
        <w:rPr>
          <w:rFonts w:ascii="黑体" w:hAnsi="黑体" w:eastAsia="黑体" w:cs="黑体"/>
          <w:bCs/>
          <w:sz w:val="30"/>
          <w:szCs w:val="30"/>
        </w:rPr>
      </w:pPr>
      <w:r>
        <w:rPr>
          <w:rFonts w:hint="eastAsia" w:ascii="黑体" w:hAnsi="黑体" w:eastAsia="黑体" w:cs="黑体"/>
          <w:bCs/>
          <w:sz w:val="30"/>
          <w:szCs w:val="30"/>
        </w:rPr>
        <w:t>十四、赛项安全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全国职业院校技能大赛安全管理规定》的有关要求，采取切实有效的措施保证大赛期间参赛选手、指导教师、工作人员及观众的人身安全，根据本规定提出的安全要点，制定相应的制度和文件，落实相关责任。具体措施包括：</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（一）赛项安全管理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竞赛所涉器材、设备均符合国家有关安全规定。赛项执委会将在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赛前对本赛项全体裁判员、工作人员进行安全培训，并制定专门方案保证比赛命题、赛题保管、发放、回收和评判过程的安全。</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（二）比赛环境安全管理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赛项执委会须在赛前组织专人对比赛现场、住宿场所和交通保障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进行考察，并对安全工作提出明确要求。赛场周围设立警戒线，防止无关人员进入，发生意外事件。承办院校提供保障应急预案实施的条件。赛项执委会会同承办院校制定开放赛场和体验区的人员疏导方案。大赛期间，赛项承办院校在赛场管理的关键岗位，增加力量，建立安全管理日志。在参赛选手进入赛位，赛项裁判工作人员进入工作场所时，赛项承办院校负责提醒、督促参赛选手、赛项裁判工作人员严禁携带通讯、照相摄录设备，禁止携带未经许可的记录用具。</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（三）生活条件保障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比赛期间，由赛事承办院校统一安排参赛选手和指导教师食宿。承办院校尊重少数民族参赛人员的宗教信仰及文化习俗，根据国家相关的民族、宗教政策，安排好少数民族参赛选手和教师的饮食起居。比赛期间安排的住宿地具有宾馆、住宿经营许可资质。</w:t>
      </w:r>
    </w:p>
    <w:p>
      <w:pPr>
        <w:ind w:firstLine="600" w:firstLineChars="200"/>
        <w:rPr>
          <w:rFonts w:ascii="黑体" w:hAnsi="黑体" w:eastAsia="黑体" w:cs="黑体"/>
          <w:bCs/>
          <w:sz w:val="30"/>
          <w:szCs w:val="30"/>
        </w:rPr>
      </w:pPr>
      <w:r>
        <w:rPr>
          <w:rFonts w:hint="eastAsia" w:ascii="黑体" w:hAnsi="黑体" w:eastAsia="黑体" w:cs="黑体"/>
          <w:bCs/>
          <w:sz w:val="30"/>
          <w:szCs w:val="30"/>
        </w:rPr>
        <w:t>十五、竞赛须知</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（一）参赛队须知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1.所有参赛选手、指导教师、领队往返的交通费、食宿费及保险费等参赛院校自理。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2.各参赛队由领队、指导教师和参赛选手组成。</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3.各参赛队的领队、指导教师可凭证件进入赛场直播室进行观摩。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4.参赛选手及指导教师对本赛项在比赛过程中及比赛结果提出质疑，应由领队在规定时间内向赛项执委会提出书面陈述。领队、指导教师、参赛选手不得与大赛工作人员直接交涉。</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（二）指导教师须知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指导教师必须是参赛选手所在学校的在职专任教师，每名参赛选手限1名指导教师。在比赛期间及往返比赛地点的途中，指导教师要关心参赛选手的交通安全、饮食安全，既要鼓励参赛选手以饱满的热情参赛，又要以正确的心态对待比赛结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2.指导教师一经确定不得随意变更。</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（三）参赛选手须知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由赛项执委会按照竞赛流程召开竞赛预备会议，组织参赛选手统一公开抽签确定参赛顺序。各参赛选手比赛前30分钟到赛项指定地点接受检录。各参赛选手由工作人员引导进入侯赛室，接到比赛的通知后进入赛场，按顺序完成竞赛规定的赛项任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参赛选手统一着装进入赛场。参赛选手必须着大赛统一提供的护理员制服，自备白鞋、白色纯棉袜子，不得在参赛服饰上作任何标识。进入赛场须携带身份证、准考证，不得携带其它任何物品，违规者取消本次比赛成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3.竞赛过程中，参赛选手须严格遵守竞赛流程和规则，并自觉接受裁判的监督和警示。若因突发故障原因导致竞赛中断，应提请裁判确认其原因,并视具体情况做出裁决。</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参赛选手竞赛开始、终止时间由工作人员记录在案；比赛时间到，由裁判示意参赛选手终止操作。参赛选手提前结束竞赛后不得再进行任何操作。参赛选手在竞赛过程中不得擅自离开赛场，如有特殊情况，需经裁判组长和裁判长同意后作特殊处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5.赛场各类工作人员都统一佩戴由赛项执委会印制的相应证件，有问题可以询问工作人员。</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（四）工作人员须知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1.赛场各类工作人员必须统一佩戴由赛项执委会印制的相应证件，着装整齐，进入工作岗位。</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2.除赛项执委会成员、专家组成员、现场裁判、赛场配备的工作人员外，其他人员未经赛项执委会允许不得进入赛场。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3.新闻媒体人员等进入赛场必须经过赛项执委会允许，并且听从现场工作人员的安排和指挥，不得影响竞赛正常进行。</w:t>
      </w:r>
    </w:p>
    <w:p>
      <w:pPr>
        <w:ind w:firstLine="600" w:firstLineChars="200"/>
        <w:rPr>
          <w:rFonts w:ascii="黑体" w:hAnsi="黑体" w:eastAsia="黑体" w:cs="黑体"/>
          <w:bCs/>
          <w:sz w:val="30"/>
          <w:szCs w:val="30"/>
        </w:rPr>
      </w:pPr>
      <w:r>
        <w:rPr>
          <w:rFonts w:hint="eastAsia" w:ascii="黑体" w:hAnsi="黑体" w:eastAsia="黑体" w:cs="黑体"/>
          <w:bCs/>
          <w:sz w:val="30"/>
          <w:szCs w:val="30"/>
        </w:rPr>
        <w:t>十六、申诉与仲裁</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本赛项设赛项仲裁工作组。仲裁工作组人员从大赛仲裁员库中选取，人数为3人，设组长1人。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申诉与仲裁的程序为：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各参赛队对不符合大赛和赛项规程规定的仪器、设备、工装、材料、物件、计算机软硬件、竞赛使用工具、用品，竞赛执裁、赛场管理、竞赛成绩，以及工作人员的不规范行为等，可向赛项仲裁组提出申诉。</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（二）申诉主体为参赛队领队。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（三）申诉启动时参赛队以该队领队亲笔签字同意的书面报告形式递交赛项仲裁组。报告应对申诉事件的现象、发生时间、涉及人员、申诉依据等进行充分、实事求是的叙述。非书面申诉不予受理。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（四）提出申诉应在赛项比赛结束后不超过2小时内提出。超过时效不予受理。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（五）赛项仲裁工作组在接到申诉报告后的2小时内组织复议，并及时将复议结果以书面形式告知申诉方。</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（六）申诉方不得以任何理由拒绝接收仲裁结果；不得以任何理由采取过激行为扰乱赛场秩序；仲裁结果由申诉人签收，不能代收；如在约定时间和地点申诉人离开，视为自行放弃申诉。</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（七）申诉方可随时提出放弃申诉。</w:t>
      </w:r>
    </w:p>
    <w:p>
      <w:pPr>
        <w:ind w:firstLine="600" w:firstLineChars="200"/>
        <w:rPr>
          <w:rFonts w:ascii="黑体" w:hAnsi="黑体" w:eastAsia="黑体" w:cs="黑体"/>
          <w:bCs/>
          <w:sz w:val="30"/>
          <w:szCs w:val="30"/>
        </w:rPr>
      </w:pPr>
      <w:r>
        <w:rPr>
          <w:rFonts w:hint="eastAsia" w:ascii="黑体" w:hAnsi="黑体" w:eastAsia="黑体" w:cs="黑体"/>
          <w:bCs/>
          <w:sz w:val="30"/>
          <w:szCs w:val="30"/>
        </w:rPr>
        <w:t>十七、竞赛观摩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（一）赛场内部置无盲点录像设备，能实时录制并播送赛场情况；</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（二）赛场外有大屏幕或投影，音视频同步显示赛场内竞赛状况；</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多机位拍摄开闭赛式和抽签加密，制作优秀参赛选手采访、优秀指导教师采访、裁判专家点评和优秀企业人士采访视频资料，突出赛项的技能重点与优势特色。为宣传、仲裁、资源转化提供全面的信息资料。</w:t>
      </w:r>
    </w:p>
    <w:p>
      <w:pPr>
        <w:ind w:firstLine="600" w:firstLineChars="200"/>
        <w:rPr>
          <w:rFonts w:ascii="黑体" w:hAnsi="黑体" w:eastAsia="黑体" w:cs="黑体"/>
          <w:bCs/>
          <w:sz w:val="30"/>
          <w:szCs w:val="30"/>
        </w:rPr>
      </w:pPr>
      <w:r>
        <w:rPr>
          <w:rFonts w:hint="eastAsia" w:ascii="黑体" w:hAnsi="黑体" w:eastAsia="黑体" w:cs="黑体"/>
          <w:bCs/>
          <w:sz w:val="30"/>
          <w:szCs w:val="30"/>
        </w:rPr>
        <w:t>十八、资源转化</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根据《全国职业院校技能大赛赛项资源转化工作办法》的有关要求，赛项执委会负责资源转化工作，按要求于赛后30日内向大赛执委会办公室提交资源转化方案，半年内完成资源转化工作。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赛项资源转化的内容是赛项竞赛全过程的各类资源，包括但不限于：竞赛样题、试题库。竞赛技能考核评分案例。考核环境描述。竞赛过程音视频记录。评委、裁判、专家点评。优秀参赛选手、指导教师访谈。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附件1  2020年全国职业院校技能大赛改革试点赛健康与社会照护赛项参赛回执表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附件2  2020年全国职业院校技能大赛改革试点赛健康与社会照护赛项参赛选手报名表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附件3  2020年全国职业院校技能大赛改革试点赛健康与社会照护赛项参赛选手信息表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附件4</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2020年全国职业院校技能大赛改革试点赛健康与社会照护赛项第一次加密登记表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附件5</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2020年全国职业院校技能大赛改革试点赛健康与社会照护赛项第二次加密登记表</w:t>
      </w:r>
    </w:p>
    <w:p>
      <w:pPr>
        <w:ind w:firstLine="560" w:firstLineChars="200"/>
        <w:rPr>
          <w:rFonts w:asciiTheme="minorEastAsia" w:hAnsiTheme="minorEastAsia"/>
          <w:sz w:val="28"/>
          <w:szCs w:val="28"/>
        </w:rPr>
      </w:pPr>
      <w:r>
        <w:rPr>
          <w:rFonts w:asciiTheme="minorEastAsia" w:hAnsiTheme="minorEastAsia"/>
          <w:sz w:val="28"/>
          <w:szCs w:val="28"/>
        </w:rPr>
        <w:t xml:space="preserve"> </w:t>
      </w: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br w:type="page"/>
      </w:r>
    </w:p>
    <w:p>
      <w:pPr>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附件1  </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2020年全国职业院校技能大赛改革试点赛</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健康与社会照护赛项参赛队信息汇总表</w:t>
      </w:r>
    </w:p>
    <w:p>
      <w:pPr>
        <w:rPr>
          <w:rFonts w:ascii="仿宋_GB2312" w:hAnsi="仿宋_GB2312" w:eastAsia="仿宋_GB2312" w:cs="仿宋_GB2312"/>
          <w:b/>
          <w:bCs/>
          <w:sz w:val="30"/>
          <w:szCs w:val="30"/>
        </w:rPr>
      </w:pPr>
    </w:p>
    <w:p>
      <w:pPr>
        <w:rPr>
          <w:rFonts w:asciiTheme="minorEastAsia" w:hAnsiTheme="minorEastAsia"/>
          <w:sz w:val="28"/>
          <w:szCs w:val="28"/>
        </w:rPr>
      </w:pPr>
      <w:r>
        <w:rPr>
          <w:rFonts w:hint="eastAsia" w:ascii="仿宋_GB2312" w:hAnsi="仿宋_GB2312" w:eastAsia="仿宋_GB2312" w:cs="仿宋_GB2312"/>
          <w:b/>
          <w:bCs/>
          <w:sz w:val="30"/>
          <w:szCs w:val="30"/>
        </w:rPr>
        <w:t>参赛单位：</w:t>
      </w:r>
      <w:r>
        <w:rPr>
          <w:rFonts w:hint="eastAsia" w:ascii="仿宋_GB2312" w:hAnsi="仿宋_GB2312" w:eastAsia="仿宋_GB2312" w:cs="仿宋_GB2312"/>
          <w:sz w:val="30"/>
          <w:szCs w:val="30"/>
        </w:rPr>
        <w:t xml:space="preserve">   </w:t>
      </w:r>
      <w:r>
        <w:rPr>
          <w:rFonts w:hint="eastAsia" w:asciiTheme="minorEastAsia" w:hAnsiTheme="minorEastAsia"/>
          <w:sz w:val="28"/>
          <w:szCs w:val="28"/>
        </w:rPr>
        <w:t xml:space="preserve">                        </w:t>
      </w:r>
    </w:p>
    <w:tbl>
      <w:tblPr>
        <w:tblStyle w:val="6"/>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965"/>
        <w:gridCol w:w="995"/>
        <w:gridCol w:w="995"/>
        <w:gridCol w:w="1959"/>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6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cs="黑体"/>
                <w:sz w:val="30"/>
                <w:szCs w:val="30"/>
              </w:rPr>
            </w:pPr>
            <w:r>
              <w:rPr>
                <w:rFonts w:hint="eastAsia" w:ascii="黑体" w:hAnsi="黑体" w:eastAsia="黑体" w:cs="黑体"/>
                <w:sz w:val="30"/>
                <w:szCs w:val="30"/>
              </w:rPr>
              <w:t>姓名</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cs="黑体"/>
                <w:sz w:val="30"/>
                <w:szCs w:val="30"/>
              </w:rPr>
            </w:pPr>
            <w:r>
              <w:rPr>
                <w:rFonts w:hint="eastAsia" w:ascii="黑体" w:hAnsi="黑体" w:eastAsia="黑体" w:cs="黑体"/>
                <w:sz w:val="30"/>
                <w:szCs w:val="30"/>
              </w:rPr>
              <w:t>性别</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cs="黑体"/>
                <w:sz w:val="30"/>
                <w:szCs w:val="30"/>
              </w:rPr>
            </w:pPr>
            <w:r>
              <w:rPr>
                <w:rFonts w:hint="eastAsia" w:ascii="黑体" w:hAnsi="黑体" w:eastAsia="黑体" w:cs="黑体"/>
                <w:sz w:val="30"/>
                <w:szCs w:val="30"/>
              </w:rPr>
              <w:t>民族</w:t>
            </w:r>
          </w:p>
        </w:tc>
        <w:tc>
          <w:tcPr>
            <w:tcW w:w="195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cs="黑体"/>
                <w:sz w:val="30"/>
                <w:szCs w:val="30"/>
              </w:rPr>
            </w:pPr>
            <w:r>
              <w:rPr>
                <w:rFonts w:hint="eastAsia" w:ascii="黑体" w:hAnsi="黑体" w:eastAsia="黑体" w:cs="黑体"/>
                <w:sz w:val="30"/>
                <w:szCs w:val="30"/>
              </w:rPr>
              <w:t>职务/职称</w:t>
            </w:r>
          </w:p>
        </w:tc>
        <w:tc>
          <w:tcPr>
            <w:tcW w:w="197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cs="黑体"/>
                <w:sz w:val="30"/>
                <w:szCs w:val="30"/>
              </w:rPr>
            </w:pPr>
            <w:r>
              <w:rPr>
                <w:rFonts w:hint="eastAsia" w:ascii="黑体" w:hAnsi="黑体" w:eastAsia="黑体" w:cs="黑体"/>
                <w:sz w:val="30"/>
                <w:szCs w:val="30"/>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领  队</w:t>
            </w:r>
          </w:p>
        </w:tc>
        <w:tc>
          <w:tcPr>
            <w:tcW w:w="196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59"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72"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指导教师</w:t>
            </w:r>
          </w:p>
        </w:tc>
        <w:tc>
          <w:tcPr>
            <w:tcW w:w="196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59"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72"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指导教师</w:t>
            </w:r>
          </w:p>
        </w:tc>
        <w:tc>
          <w:tcPr>
            <w:tcW w:w="196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59"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72"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指导教师</w:t>
            </w:r>
          </w:p>
        </w:tc>
        <w:tc>
          <w:tcPr>
            <w:tcW w:w="196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59"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72"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指导教师</w:t>
            </w:r>
          </w:p>
        </w:tc>
        <w:tc>
          <w:tcPr>
            <w:tcW w:w="196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59"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72"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参赛选手</w:t>
            </w:r>
          </w:p>
        </w:tc>
        <w:tc>
          <w:tcPr>
            <w:tcW w:w="196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59"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72"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参赛选手</w:t>
            </w:r>
          </w:p>
        </w:tc>
        <w:tc>
          <w:tcPr>
            <w:tcW w:w="196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59"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72"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参赛选手</w:t>
            </w:r>
          </w:p>
        </w:tc>
        <w:tc>
          <w:tcPr>
            <w:tcW w:w="196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59"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72"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参赛选手</w:t>
            </w:r>
          </w:p>
        </w:tc>
        <w:tc>
          <w:tcPr>
            <w:tcW w:w="196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59"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72"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r>
    </w:tbl>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2" w:firstLineChars="200"/>
        <w:rPr>
          <w:rFonts w:asciiTheme="minorEastAsia" w:hAnsiTheme="minorEastAsia"/>
          <w:b/>
          <w:bCs/>
          <w:sz w:val="28"/>
          <w:szCs w:val="28"/>
        </w:rPr>
      </w:pPr>
    </w:p>
    <w:p>
      <w:pPr>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附件2</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2020年全国职业院校技能大赛改革试点赛</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健康与社会照护赛项参赛选手报名表</w:t>
      </w:r>
    </w:p>
    <w:p>
      <w:pPr>
        <w:rPr>
          <w:rFonts w:asciiTheme="minorEastAsia" w:hAnsiTheme="minorEastAsia"/>
          <w:b/>
          <w:bCs/>
          <w:sz w:val="28"/>
          <w:szCs w:val="28"/>
        </w:rPr>
      </w:pPr>
    </w:p>
    <w:p>
      <w:pPr>
        <w:rPr>
          <w:rFonts w:ascii="仿宋_GB2312" w:hAnsi="仿宋_GB2312" w:eastAsia="仿宋_GB2312" w:cs="仿宋_GB2312"/>
          <w:sz w:val="30"/>
          <w:szCs w:val="30"/>
        </w:rPr>
      </w:pPr>
      <w:r>
        <w:rPr>
          <w:rFonts w:hint="eastAsia" w:ascii="仿宋_GB2312" w:hAnsi="仿宋_GB2312" w:eastAsia="仿宋_GB2312" w:cs="仿宋_GB2312"/>
          <w:b/>
          <w:bCs/>
          <w:sz w:val="30"/>
          <w:szCs w:val="30"/>
        </w:rPr>
        <w:t>代表队：                                    编号：</w:t>
      </w:r>
      <w:r>
        <w:rPr>
          <w:rFonts w:hint="eastAsia" w:ascii="仿宋_GB2312" w:hAnsi="仿宋_GB2312" w:eastAsia="仿宋_GB2312" w:cs="仿宋_GB2312"/>
          <w:sz w:val="30"/>
          <w:szCs w:val="30"/>
        </w:rPr>
        <w:t xml:space="preserve">     </w:t>
      </w:r>
    </w:p>
    <w:tbl>
      <w:tblPr>
        <w:tblStyle w:val="6"/>
        <w:tblW w:w="9879" w:type="dxa"/>
        <w:tblInd w:w="-432"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565"/>
        <w:gridCol w:w="1165"/>
        <w:gridCol w:w="1474"/>
        <w:gridCol w:w="589"/>
        <w:gridCol w:w="248"/>
        <w:gridCol w:w="1863"/>
        <w:gridCol w:w="1124"/>
        <w:gridCol w:w="185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156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姓  名</w:t>
            </w:r>
          </w:p>
        </w:tc>
        <w:tc>
          <w:tcPr>
            <w:tcW w:w="1165" w:type="dxa"/>
            <w:vAlign w:val="center"/>
          </w:tcPr>
          <w:p>
            <w:pPr>
              <w:ind w:firstLine="600" w:firstLineChars="200"/>
              <w:rPr>
                <w:rFonts w:ascii="仿宋_GB2312" w:hAnsi="仿宋_GB2312" w:eastAsia="仿宋_GB2312" w:cs="仿宋_GB2312"/>
                <w:sz w:val="30"/>
                <w:szCs w:val="30"/>
              </w:rPr>
            </w:pPr>
          </w:p>
        </w:tc>
        <w:tc>
          <w:tcPr>
            <w:tcW w:w="1474"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性  别</w:t>
            </w:r>
          </w:p>
        </w:tc>
        <w:tc>
          <w:tcPr>
            <w:tcW w:w="837" w:type="dxa"/>
            <w:gridSpan w:val="2"/>
            <w:vAlign w:val="center"/>
          </w:tcPr>
          <w:p>
            <w:pPr>
              <w:ind w:firstLine="600" w:firstLineChars="200"/>
              <w:jc w:val="center"/>
              <w:rPr>
                <w:rFonts w:ascii="仿宋_GB2312" w:hAnsi="仿宋_GB2312" w:eastAsia="仿宋_GB2312" w:cs="仿宋_GB2312"/>
                <w:sz w:val="30"/>
                <w:szCs w:val="30"/>
              </w:rPr>
            </w:pPr>
          </w:p>
        </w:tc>
        <w:tc>
          <w:tcPr>
            <w:tcW w:w="1863"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出生日期</w:t>
            </w:r>
          </w:p>
        </w:tc>
        <w:tc>
          <w:tcPr>
            <w:tcW w:w="1124" w:type="dxa"/>
            <w:vAlign w:val="center"/>
          </w:tcPr>
          <w:p>
            <w:pPr>
              <w:ind w:firstLine="600" w:firstLineChars="200"/>
              <w:jc w:val="center"/>
              <w:rPr>
                <w:rFonts w:ascii="仿宋_GB2312" w:hAnsi="仿宋_GB2312" w:eastAsia="仿宋_GB2312" w:cs="仿宋_GB2312"/>
                <w:sz w:val="30"/>
                <w:szCs w:val="30"/>
              </w:rPr>
            </w:pPr>
          </w:p>
        </w:tc>
        <w:tc>
          <w:tcPr>
            <w:tcW w:w="1851" w:type="dxa"/>
            <w:vMerge w:val="restart"/>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贴照片处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156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民  族</w:t>
            </w:r>
          </w:p>
        </w:tc>
        <w:tc>
          <w:tcPr>
            <w:tcW w:w="1165" w:type="dxa"/>
            <w:vAlign w:val="center"/>
          </w:tcPr>
          <w:p>
            <w:pPr>
              <w:ind w:firstLine="600" w:firstLineChars="200"/>
              <w:rPr>
                <w:rFonts w:ascii="仿宋_GB2312" w:hAnsi="仿宋_GB2312" w:eastAsia="仿宋_GB2312" w:cs="仿宋_GB2312"/>
                <w:sz w:val="30"/>
                <w:szCs w:val="30"/>
              </w:rPr>
            </w:pPr>
          </w:p>
        </w:tc>
        <w:tc>
          <w:tcPr>
            <w:tcW w:w="1474"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身份证号</w:t>
            </w:r>
          </w:p>
        </w:tc>
        <w:tc>
          <w:tcPr>
            <w:tcW w:w="3824" w:type="dxa"/>
            <w:gridSpan w:val="4"/>
            <w:vAlign w:val="center"/>
          </w:tcPr>
          <w:p>
            <w:pPr>
              <w:ind w:firstLine="600" w:firstLineChars="200"/>
              <w:jc w:val="center"/>
              <w:rPr>
                <w:rFonts w:ascii="仿宋_GB2312" w:hAnsi="仿宋_GB2312" w:eastAsia="仿宋_GB2312" w:cs="仿宋_GB2312"/>
                <w:sz w:val="30"/>
                <w:szCs w:val="30"/>
              </w:rPr>
            </w:pPr>
          </w:p>
        </w:tc>
        <w:tc>
          <w:tcPr>
            <w:tcW w:w="1851" w:type="dxa"/>
            <w:vMerge w:val="continue"/>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156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所在院校</w:t>
            </w:r>
          </w:p>
        </w:tc>
        <w:tc>
          <w:tcPr>
            <w:tcW w:w="6463" w:type="dxa"/>
            <w:gridSpan w:val="6"/>
            <w:vAlign w:val="center"/>
          </w:tcPr>
          <w:p>
            <w:pPr>
              <w:ind w:firstLine="600" w:firstLineChars="200"/>
              <w:jc w:val="center"/>
              <w:rPr>
                <w:rFonts w:ascii="仿宋_GB2312" w:hAnsi="仿宋_GB2312" w:eastAsia="仿宋_GB2312" w:cs="仿宋_GB2312"/>
                <w:sz w:val="30"/>
                <w:szCs w:val="30"/>
              </w:rPr>
            </w:pPr>
          </w:p>
        </w:tc>
        <w:tc>
          <w:tcPr>
            <w:tcW w:w="1851" w:type="dxa"/>
            <w:vMerge w:val="continue"/>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156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学校地址</w:t>
            </w:r>
          </w:p>
        </w:tc>
        <w:tc>
          <w:tcPr>
            <w:tcW w:w="6463" w:type="dxa"/>
            <w:gridSpan w:val="6"/>
            <w:vAlign w:val="center"/>
          </w:tcPr>
          <w:p>
            <w:pPr>
              <w:ind w:firstLine="600" w:firstLineChars="200"/>
              <w:jc w:val="center"/>
              <w:rPr>
                <w:rFonts w:ascii="仿宋_GB2312" w:hAnsi="仿宋_GB2312" w:eastAsia="仿宋_GB2312" w:cs="仿宋_GB2312"/>
                <w:sz w:val="30"/>
                <w:szCs w:val="30"/>
              </w:rPr>
            </w:pPr>
          </w:p>
        </w:tc>
        <w:tc>
          <w:tcPr>
            <w:tcW w:w="1851" w:type="dxa"/>
            <w:vMerge w:val="continue"/>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56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邮  编</w:t>
            </w:r>
          </w:p>
        </w:tc>
        <w:tc>
          <w:tcPr>
            <w:tcW w:w="3228" w:type="dxa"/>
            <w:gridSpan w:val="3"/>
            <w:vAlign w:val="center"/>
          </w:tcPr>
          <w:p>
            <w:pPr>
              <w:ind w:firstLine="600" w:firstLineChars="200"/>
              <w:jc w:val="center"/>
              <w:rPr>
                <w:rFonts w:ascii="仿宋_GB2312" w:hAnsi="仿宋_GB2312" w:eastAsia="仿宋_GB2312" w:cs="仿宋_GB2312"/>
                <w:sz w:val="30"/>
                <w:szCs w:val="30"/>
              </w:rPr>
            </w:pPr>
          </w:p>
        </w:tc>
        <w:tc>
          <w:tcPr>
            <w:tcW w:w="2111" w:type="dxa"/>
            <w:gridSpan w:val="2"/>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院校电话</w:t>
            </w:r>
          </w:p>
        </w:tc>
        <w:tc>
          <w:tcPr>
            <w:tcW w:w="2975" w:type="dxa"/>
            <w:gridSpan w:val="2"/>
            <w:vAlign w:val="center"/>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156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所在年级</w:t>
            </w:r>
          </w:p>
        </w:tc>
        <w:tc>
          <w:tcPr>
            <w:tcW w:w="3228" w:type="dxa"/>
            <w:gridSpan w:val="3"/>
            <w:vAlign w:val="center"/>
          </w:tcPr>
          <w:p>
            <w:pPr>
              <w:ind w:firstLine="600" w:firstLineChars="200"/>
              <w:jc w:val="center"/>
              <w:rPr>
                <w:rFonts w:ascii="仿宋_GB2312" w:hAnsi="仿宋_GB2312" w:eastAsia="仿宋_GB2312" w:cs="仿宋_GB2312"/>
                <w:sz w:val="30"/>
                <w:szCs w:val="30"/>
              </w:rPr>
            </w:pPr>
          </w:p>
        </w:tc>
        <w:tc>
          <w:tcPr>
            <w:tcW w:w="2111" w:type="dxa"/>
            <w:gridSpan w:val="2"/>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指导教师姓名</w:t>
            </w:r>
          </w:p>
        </w:tc>
        <w:tc>
          <w:tcPr>
            <w:tcW w:w="2975" w:type="dxa"/>
            <w:gridSpan w:val="2"/>
            <w:vAlign w:val="center"/>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389" w:hRule="atLeast"/>
        </w:trPr>
        <w:tc>
          <w:tcPr>
            <w:tcW w:w="156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所在学校</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推荐意见</w:t>
            </w:r>
          </w:p>
        </w:tc>
        <w:tc>
          <w:tcPr>
            <w:tcW w:w="8314" w:type="dxa"/>
            <w:gridSpan w:val="7"/>
            <w:vAlign w:val="center"/>
          </w:tcPr>
          <w:p>
            <w:pPr>
              <w:ind w:firstLine="600" w:firstLineChars="200"/>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负责人签字：          盖章    2020年  月  日</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85" w:hRule="atLeast"/>
        </w:trPr>
        <w:tc>
          <w:tcPr>
            <w:tcW w:w="156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本届大赛组委会审核意见</w:t>
            </w:r>
          </w:p>
        </w:tc>
        <w:tc>
          <w:tcPr>
            <w:tcW w:w="8314" w:type="dxa"/>
            <w:gridSpan w:val="7"/>
            <w:vAlign w:val="center"/>
          </w:tcPr>
          <w:p>
            <w:pPr>
              <w:ind w:firstLine="600" w:firstLineChars="200"/>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负责人签字：          盖章    2020年  月  日</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56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备注</w:t>
            </w:r>
          </w:p>
        </w:tc>
        <w:tc>
          <w:tcPr>
            <w:tcW w:w="8314" w:type="dxa"/>
            <w:gridSpan w:val="7"/>
            <w:vAlign w:val="center"/>
          </w:tcPr>
          <w:p>
            <w:pPr>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p>
        </w:tc>
      </w:tr>
    </w:tbl>
    <w:p>
      <w:pPr>
        <w:ind w:firstLine="560" w:firstLineChars="200"/>
        <w:rPr>
          <w:rFonts w:ascii="宋体" w:hAnsi="宋体" w:eastAsia="宋体" w:cs="宋体"/>
          <w:sz w:val="28"/>
          <w:szCs w:val="28"/>
        </w:rPr>
        <w:sectPr>
          <w:headerReference r:id="rId3" w:type="default"/>
          <w:footerReference r:id="rId4" w:type="default"/>
          <w:footerReference r:id="rId5" w:type="even"/>
          <w:pgSz w:w="11906" w:h="16838"/>
          <w:pgMar w:top="1440" w:right="1701" w:bottom="1440" w:left="1701" w:header="851" w:footer="992" w:gutter="0"/>
          <w:cols w:space="425" w:num="1"/>
          <w:docGrid w:type="lines" w:linePitch="312" w:charSpace="0"/>
        </w:sectPr>
      </w:pPr>
    </w:p>
    <w:p>
      <w:pPr>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附件3</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2020年全国职业院校技能大赛改革试点赛</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健康与社会照护赛项参赛选手信息表</w:t>
      </w:r>
    </w:p>
    <w:p>
      <w:pPr>
        <w:ind w:firstLine="560" w:firstLineChars="200"/>
        <w:rPr>
          <w:rFonts w:asciiTheme="minorEastAsia" w:hAnsiTheme="minorEastAsia"/>
          <w:sz w:val="28"/>
          <w:szCs w:val="28"/>
        </w:rPr>
      </w:pPr>
    </w:p>
    <w:p>
      <w:pPr>
        <w:rPr>
          <w:rFonts w:asciiTheme="minorEastAsia" w:hAnsiTheme="minorEastAsia"/>
          <w:b/>
          <w:bCs/>
          <w:sz w:val="28"/>
          <w:szCs w:val="28"/>
        </w:rPr>
      </w:pPr>
      <w:r>
        <w:rPr>
          <w:rFonts w:hint="eastAsia" w:asciiTheme="minorEastAsia" w:hAnsiTheme="minorEastAsia"/>
          <w:b/>
          <w:bCs/>
          <w:sz w:val="28"/>
          <w:szCs w:val="28"/>
        </w:rPr>
        <w:t xml:space="preserve"> </w:t>
      </w:r>
      <w:r>
        <w:rPr>
          <w:rFonts w:hint="eastAsia" w:ascii="仿宋_GB2312" w:hAnsi="仿宋_GB2312" w:eastAsia="仿宋_GB2312" w:cs="仿宋_GB2312"/>
          <w:b/>
          <w:bCs/>
          <w:sz w:val="30"/>
          <w:szCs w:val="30"/>
        </w:rPr>
        <w:t>代表队：</w:t>
      </w:r>
    </w:p>
    <w:tbl>
      <w:tblPr>
        <w:tblStyle w:val="6"/>
        <w:tblpPr w:leftFromText="180" w:rightFromText="180" w:vertAnchor="text" w:horzAnchor="page" w:tblpX="1937" w:tblpY="111"/>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216"/>
        <w:gridCol w:w="911"/>
        <w:gridCol w:w="1125"/>
        <w:gridCol w:w="987"/>
        <w:gridCol w:w="1538"/>
        <w:gridCol w:w="1386"/>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黑体"/>
                <w:sz w:val="30"/>
                <w:szCs w:val="30"/>
              </w:rPr>
            </w:pPr>
            <w:r>
              <w:rPr>
                <w:rFonts w:hint="eastAsia" w:ascii="黑体" w:hAnsi="黑体" w:eastAsia="黑体" w:cs="黑体"/>
                <w:sz w:val="30"/>
                <w:szCs w:val="30"/>
              </w:rPr>
              <w:t>序号</w:t>
            </w:r>
          </w:p>
        </w:tc>
        <w:tc>
          <w:tcPr>
            <w:tcW w:w="1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黑体"/>
                <w:sz w:val="30"/>
                <w:szCs w:val="30"/>
              </w:rPr>
            </w:pPr>
            <w:r>
              <w:rPr>
                <w:rFonts w:hint="eastAsia" w:ascii="黑体" w:hAnsi="黑体" w:eastAsia="黑体" w:cs="黑体"/>
                <w:sz w:val="30"/>
                <w:szCs w:val="30"/>
              </w:rPr>
              <w:t>姓名</w:t>
            </w:r>
          </w:p>
        </w:tc>
        <w:tc>
          <w:tcPr>
            <w:tcW w:w="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黑体"/>
                <w:sz w:val="30"/>
                <w:szCs w:val="30"/>
              </w:rPr>
            </w:pPr>
            <w:r>
              <w:rPr>
                <w:rFonts w:hint="eastAsia" w:ascii="黑体" w:hAnsi="黑体" w:eastAsia="黑体" w:cs="黑体"/>
                <w:sz w:val="30"/>
                <w:szCs w:val="30"/>
              </w:rPr>
              <w:t>性别</w:t>
            </w: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黑体"/>
                <w:sz w:val="30"/>
                <w:szCs w:val="30"/>
              </w:rPr>
            </w:pPr>
            <w:r>
              <w:rPr>
                <w:rFonts w:hint="eastAsia" w:ascii="黑体" w:hAnsi="黑体" w:eastAsia="黑体" w:cs="黑体"/>
                <w:sz w:val="30"/>
                <w:szCs w:val="30"/>
              </w:rPr>
              <w:t>身高（cm）</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黑体"/>
                <w:sz w:val="30"/>
                <w:szCs w:val="30"/>
              </w:rPr>
            </w:pPr>
            <w:r>
              <w:rPr>
                <w:rFonts w:hint="eastAsia" w:ascii="黑体" w:hAnsi="黑体" w:eastAsia="黑体" w:cs="黑体"/>
                <w:sz w:val="30"/>
                <w:szCs w:val="30"/>
              </w:rPr>
              <w:t>体重（kg）</w:t>
            </w:r>
          </w:p>
        </w:tc>
        <w:tc>
          <w:tcPr>
            <w:tcW w:w="15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黑体"/>
                <w:sz w:val="30"/>
                <w:szCs w:val="30"/>
              </w:rPr>
            </w:pPr>
            <w:r>
              <w:rPr>
                <w:rFonts w:hint="eastAsia" w:ascii="黑体" w:hAnsi="黑体" w:eastAsia="黑体" w:cs="黑体"/>
                <w:sz w:val="30"/>
                <w:szCs w:val="30"/>
              </w:rPr>
              <w:t>服装型号（大、中、小号）</w:t>
            </w: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黑体"/>
                <w:sz w:val="30"/>
                <w:szCs w:val="30"/>
              </w:rPr>
            </w:pPr>
            <w:r>
              <w:rPr>
                <w:rFonts w:hint="eastAsia" w:ascii="黑体" w:hAnsi="黑体" w:eastAsia="黑体" w:cs="黑体"/>
                <w:sz w:val="30"/>
                <w:szCs w:val="30"/>
              </w:rPr>
              <w:t>护士鞋号码</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黑体" w:hAnsi="黑体" w:eastAsia="黑体" w:cs="黑体"/>
                <w:sz w:val="30"/>
                <w:szCs w:val="30"/>
              </w:rPr>
            </w:pPr>
            <w:r>
              <w:rPr>
                <w:rFonts w:hint="eastAsia" w:ascii="黑体" w:hAnsi="黑体" w:eastAsia="黑体" w:cs="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216"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11"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125"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538"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386"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216"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11"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125"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538"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386"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1216"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11"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125"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538"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386"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1216"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11"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125"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538"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386"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r>
    </w:tbl>
    <w:p>
      <w:pPr>
        <w:ind w:firstLine="560" w:firstLineChars="200"/>
        <w:rPr>
          <w:rFonts w:asciiTheme="minorEastAsia" w:hAnsiTheme="minorEastAsia"/>
          <w:sz w:val="28"/>
          <w:szCs w:val="28"/>
        </w:rPr>
      </w:pPr>
    </w:p>
    <w:p>
      <w:pPr>
        <w:rPr>
          <w:rFonts w:ascii="宋体" w:hAnsi="宋体"/>
          <w:szCs w:val="21"/>
        </w:rPr>
      </w:pPr>
    </w:p>
    <w:p>
      <w:pPr>
        <w:rPr>
          <w:rFonts w:ascii="宋体" w:hAnsi="宋体"/>
          <w:szCs w:val="21"/>
        </w:rPr>
      </w:pPr>
    </w:p>
    <w:p>
      <w:pPr>
        <w:rPr>
          <w:rFonts w:ascii="宋体" w:hAnsi="宋体"/>
          <w:szCs w:val="21"/>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2" w:firstLineChars="200"/>
        <w:rPr>
          <w:rFonts w:asciiTheme="minorEastAsia" w:hAnsiTheme="minorEastAsia"/>
          <w:b/>
          <w:bCs/>
          <w:sz w:val="28"/>
          <w:szCs w:val="28"/>
        </w:rPr>
      </w:pPr>
    </w:p>
    <w:p>
      <w:pPr>
        <w:ind w:firstLine="562" w:firstLineChars="200"/>
        <w:rPr>
          <w:rFonts w:asciiTheme="minorEastAsia" w:hAnsiTheme="minorEastAsia"/>
          <w:b/>
          <w:bCs/>
          <w:sz w:val="28"/>
          <w:szCs w:val="28"/>
        </w:rPr>
      </w:pPr>
    </w:p>
    <w:p>
      <w:pPr>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附件4</w:t>
      </w: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2020年全国职业院校技能大赛改革试点赛</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健康与社会照护赛项第一次加密登记表</w:t>
      </w:r>
    </w:p>
    <w:p>
      <w:pPr>
        <w:spacing w:line="560" w:lineRule="exact"/>
        <w:jc w:val="center"/>
        <w:rPr>
          <w:rFonts w:ascii="方正小标宋简体" w:hAnsi="方正小标宋简体" w:eastAsia="方正小标宋简体" w:cs="方正小标宋简体"/>
          <w:bCs/>
          <w:sz w:val="30"/>
          <w:szCs w:val="30"/>
        </w:rPr>
      </w:pPr>
    </w:p>
    <w:tbl>
      <w:tblPr>
        <w:tblStyle w:val="6"/>
        <w:tblW w:w="9398" w:type="dxa"/>
        <w:jc w:val="center"/>
        <w:tblLayout w:type="fixed"/>
        <w:tblCellMar>
          <w:top w:w="0" w:type="dxa"/>
          <w:left w:w="0" w:type="dxa"/>
          <w:bottom w:w="0" w:type="dxa"/>
          <w:right w:w="0" w:type="dxa"/>
        </w:tblCellMar>
      </w:tblPr>
      <w:tblGrid>
        <w:gridCol w:w="1051"/>
        <w:gridCol w:w="953"/>
        <w:gridCol w:w="1148"/>
        <w:gridCol w:w="885"/>
        <w:gridCol w:w="2142"/>
        <w:gridCol w:w="1377"/>
        <w:gridCol w:w="915"/>
        <w:gridCol w:w="927"/>
      </w:tblGrid>
      <w:tr>
        <w:tblPrEx>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日期</w:t>
            </w:r>
          </w:p>
        </w:tc>
        <w:tc>
          <w:tcPr>
            <w:tcW w:w="95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地区</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姓名</w:t>
            </w:r>
          </w:p>
        </w:tc>
        <w:tc>
          <w:tcPr>
            <w:tcW w:w="885"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性别</w:t>
            </w:r>
          </w:p>
        </w:tc>
        <w:tc>
          <w:tcPr>
            <w:tcW w:w="214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身份证号</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顺序号</w:t>
            </w:r>
          </w:p>
        </w:tc>
        <w:tc>
          <w:tcPr>
            <w:tcW w:w="915"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签字</w:t>
            </w:r>
          </w:p>
        </w:tc>
        <w:tc>
          <w:tcPr>
            <w:tcW w:w="92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备注</w:t>
            </w:r>
          </w:p>
        </w:tc>
      </w:tr>
      <w:tr>
        <w:tblPrEx>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72"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bl>
    <w:p>
      <w:pPr>
        <w:rPr>
          <w:rFonts w:ascii="仿宋_GB2312" w:hAnsi="仿宋_GB2312" w:eastAsia="仿宋_GB2312" w:cs="仿宋_GB2312"/>
          <w:sz w:val="30"/>
          <w:szCs w:val="30"/>
        </w:rPr>
      </w:pPr>
      <w:r>
        <w:rPr>
          <w:rFonts w:hint="eastAsia" w:ascii="仿宋_GB2312" w:hAnsi="仿宋_GB2312" w:eastAsia="仿宋_GB2312" w:cs="仿宋_GB2312"/>
          <w:sz w:val="30"/>
          <w:szCs w:val="30"/>
        </w:rPr>
        <w:t>备注：加密裁判依据顺序号依次发放顺序牌。</w:t>
      </w:r>
    </w:p>
    <w:p>
      <w:pPr>
        <w:rPr>
          <w:rFonts w:asciiTheme="minorEastAsia" w:hAnsiTheme="minorEastAsia"/>
          <w:sz w:val="28"/>
          <w:szCs w:val="28"/>
        </w:rPr>
      </w:pPr>
      <w:r>
        <w:rPr>
          <w:rFonts w:hint="eastAsia" w:ascii="仿宋_GB2312" w:hAnsi="仿宋_GB2312" w:eastAsia="仿宋_GB2312" w:cs="仿宋_GB2312"/>
          <w:sz w:val="30"/>
          <w:szCs w:val="30"/>
        </w:rPr>
        <w:t>加密裁判1签字：</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 xml:space="preserve">          加密裁判2签字：</w:t>
      </w:r>
      <w:r>
        <w:rPr>
          <w:rFonts w:hint="eastAsia" w:asciiTheme="minorEastAsia" w:hAnsiTheme="minorEastAsia"/>
          <w:sz w:val="28"/>
          <w:szCs w:val="28"/>
        </w:rPr>
        <w:tab/>
      </w:r>
    </w:p>
    <w:p>
      <w:p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附件5</w:t>
      </w: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2020年全国职业院校技能大赛改革试点赛</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健康与社会照护赛项第二次加密登记表</w:t>
      </w:r>
    </w:p>
    <w:p>
      <w:pPr>
        <w:spacing w:line="560" w:lineRule="exact"/>
        <w:jc w:val="center"/>
        <w:rPr>
          <w:rFonts w:ascii="方正小标宋简体" w:hAnsi="方正小标宋简体" w:eastAsia="方正小标宋简体" w:cs="方正小标宋简体"/>
          <w:bCs/>
          <w:sz w:val="30"/>
          <w:szCs w:val="30"/>
        </w:rPr>
      </w:pPr>
    </w:p>
    <w:tbl>
      <w:tblPr>
        <w:tblStyle w:val="6"/>
        <w:tblW w:w="8524" w:type="dxa"/>
        <w:tblInd w:w="112" w:type="dxa"/>
        <w:tblLayout w:type="fixed"/>
        <w:tblCellMar>
          <w:top w:w="0" w:type="dxa"/>
          <w:left w:w="0" w:type="dxa"/>
          <w:bottom w:w="0" w:type="dxa"/>
          <w:right w:w="0" w:type="dxa"/>
        </w:tblCellMar>
      </w:tblPr>
      <w:tblGrid>
        <w:gridCol w:w="1651"/>
        <w:gridCol w:w="1853"/>
        <w:gridCol w:w="3111"/>
        <w:gridCol w:w="1909"/>
      </w:tblGrid>
      <w:tr>
        <w:tblPrEx>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日期</w:t>
            </w:r>
          </w:p>
        </w:tc>
        <w:tc>
          <w:tcPr>
            <w:tcW w:w="185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顺序牌号</w:t>
            </w:r>
          </w:p>
        </w:tc>
        <w:tc>
          <w:tcPr>
            <w:tcW w:w="311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参赛编号</w:t>
            </w:r>
          </w:p>
        </w:tc>
        <w:tc>
          <w:tcPr>
            <w:tcW w:w="190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备注</w:t>
            </w:r>
          </w:p>
        </w:tc>
      </w:tr>
      <w:tr>
        <w:tblPrEx>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CellMar>
            <w:top w:w="0" w:type="dxa"/>
            <w:left w:w="0" w:type="dxa"/>
            <w:bottom w:w="0" w:type="dxa"/>
            <w:right w:w="0" w:type="dxa"/>
          </w:tblCellMar>
        </w:tblPrEx>
        <w:trPr>
          <w:trHeight w:val="572"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bl>
    <w:p>
      <w:pPr>
        <w:rPr>
          <w:rFonts w:ascii="仿宋_GB2312" w:hAnsi="仿宋_GB2312" w:eastAsia="仿宋_GB2312" w:cs="仿宋_GB2312"/>
          <w:sz w:val="30"/>
          <w:szCs w:val="30"/>
        </w:rPr>
      </w:pPr>
      <w:r>
        <w:rPr>
          <w:rFonts w:hint="eastAsia" w:ascii="仿宋_GB2312" w:hAnsi="仿宋_GB2312" w:eastAsia="仿宋_GB2312" w:cs="仿宋_GB2312"/>
          <w:sz w:val="30"/>
          <w:szCs w:val="30"/>
        </w:rPr>
        <w:t>备注：加密裁判填写并发放参赛编号号码。</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加密裁判1签字：</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 xml:space="preserve">        加密裁判2签字：</w:t>
      </w:r>
      <w:r>
        <w:rPr>
          <w:rFonts w:hint="eastAsia" w:ascii="仿宋_GB2312" w:hAnsi="仿宋_GB2312" w:eastAsia="仿宋_GB2312" w:cs="仿宋_GB2312"/>
          <w:sz w:val="30"/>
          <w:szCs w:val="30"/>
        </w:rPr>
        <w:tab/>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11</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5929900"/>
    </w:sdtPr>
    <w:sdtContent>
      <w:sdt>
        <w:sdtPr>
          <w:id w:val="860082579"/>
        </w:sdtPr>
        <w:sdtContent>
          <w:p>
            <w:pPr>
              <w:pStyle w:val="4"/>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46</w:t>
            </w:r>
            <w:r>
              <w:rPr>
                <w:b/>
                <w:bCs/>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02"/>
    <w:rsid w:val="000D3761"/>
    <w:rsid w:val="000E7C88"/>
    <w:rsid w:val="000F5B79"/>
    <w:rsid w:val="001174DC"/>
    <w:rsid w:val="00197104"/>
    <w:rsid w:val="001D0EE7"/>
    <w:rsid w:val="003351EE"/>
    <w:rsid w:val="0033526F"/>
    <w:rsid w:val="003B15C9"/>
    <w:rsid w:val="004831F8"/>
    <w:rsid w:val="004A0692"/>
    <w:rsid w:val="004A6B40"/>
    <w:rsid w:val="00577006"/>
    <w:rsid w:val="00690508"/>
    <w:rsid w:val="0077751F"/>
    <w:rsid w:val="0078323F"/>
    <w:rsid w:val="007B6CB5"/>
    <w:rsid w:val="007E3C25"/>
    <w:rsid w:val="008039E9"/>
    <w:rsid w:val="008067D0"/>
    <w:rsid w:val="008114D9"/>
    <w:rsid w:val="00836D77"/>
    <w:rsid w:val="0085588B"/>
    <w:rsid w:val="00870A65"/>
    <w:rsid w:val="00870E30"/>
    <w:rsid w:val="008C1502"/>
    <w:rsid w:val="00940541"/>
    <w:rsid w:val="009E1283"/>
    <w:rsid w:val="00A77B69"/>
    <w:rsid w:val="00A826B9"/>
    <w:rsid w:val="00AC4C15"/>
    <w:rsid w:val="00AD7F37"/>
    <w:rsid w:val="00B20F73"/>
    <w:rsid w:val="00B75B89"/>
    <w:rsid w:val="00B801C9"/>
    <w:rsid w:val="00B963EC"/>
    <w:rsid w:val="00C46E5E"/>
    <w:rsid w:val="00C550FD"/>
    <w:rsid w:val="00CE57EC"/>
    <w:rsid w:val="00CF3AE1"/>
    <w:rsid w:val="00DB50D5"/>
    <w:rsid w:val="00EC64A5"/>
    <w:rsid w:val="00F05067"/>
    <w:rsid w:val="00F12A08"/>
    <w:rsid w:val="00F6556C"/>
    <w:rsid w:val="00F97DF5"/>
    <w:rsid w:val="0BBC151C"/>
    <w:rsid w:val="1383296E"/>
    <w:rsid w:val="1B8A51B7"/>
    <w:rsid w:val="1CD76EC6"/>
    <w:rsid w:val="27D608EE"/>
    <w:rsid w:val="2B615F18"/>
    <w:rsid w:val="2B7E6A0D"/>
    <w:rsid w:val="2DF841B3"/>
    <w:rsid w:val="31962AF4"/>
    <w:rsid w:val="3A781074"/>
    <w:rsid w:val="517353DF"/>
    <w:rsid w:val="58DA4C2E"/>
    <w:rsid w:val="59C234E3"/>
    <w:rsid w:val="5E400CB7"/>
    <w:rsid w:val="619C5C31"/>
    <w:rsid w:val="63D2680C"/>
    <w:rsid w:val="64707201"/>
    <w:rsid w:val="6BCF30C3"/>
    <w:rsid w:val="7E39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unhideWhenUsed/>
    <w:qFormat/>
    <w:uiPriority w:val="99"/>
    <w:pPr>
      <w:autoSpaceDE w:val="0"/>
      <w:autoSpaceDN w:val="0"/>
      <w:adjustRightInd w:val="0"/>
      <w:ind w:left="120"/>
      <w:jc w:val="left"/>
    </w:pPr>
    <w:rPr>
      <w:rFonts w:eastAsia="Times New Roman"/>
    </w:r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正文文本 Char1"/>
    <w:basedOn w:val="7"/>
    <w:link w:val="2"/>
    <w:unhideWhenUsed/>
    <w:qFormat/>
    <w:locked/>
    <w:uiPriority w:val="99"/>
    <w:rPr>
      <w:rFonts w:eastAsia="Times New Roman"/>
    </w:rPr>
  </w:style>
  <w:style w:type="character" w:customStyle="1" w:styleId="10">
    <w:name w:val="正文文本 Char"/>
    <w:basedOn w:val="7"/>
    <w:semiHidden/>
    <w:qFormat/>
    <w:uiPriority w:val="99"/>
  </w:style>
  <w:style w:type="paragraph" w:customStyle="1" w:styleId="11">
    <w:name w:val="Table Paragraph"/>
    <w:basedOn w:val="1"/>
    <w:unhideWhenUsed/>
    <w:qFormat/>
    <w:uiPriority w:val="1"/>
    <w:pPr>
      <w:autoSpaceDE w:val="0"/>
      <w:autoSpaceDN w:val="0"/>
      <w:adjustRightInd w:val="0"/>
      <w:jc w:val="left"/>
    </w:pPr>
    <w:rPr>
      <w:rFonts w:ascii="Times New Roman" w:hAnsi="Times New Roman" w:eastAsia="等线" w:cs="Times New Roman"/>
      <w:kern w:val="0"/>
      <w:sz w:val="24"/>
      <w:szCs w:val="24"/>
    </w:rPr>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9933</Words>
  <Characters>10531</Characters>
  <Lines>1504</Lines>
  <Paragraphs>1461</Paragraphs>
  <TotalTime>19</TotalTime>
  <ScaleCrop>false</ScaleCrop>
  <LinksUpToDate>false</LinksUpToDate>
  <CharactersWithSpaces>19003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2020-10-05T07:19:00Z</dcterms:created>
  <dc:creator>xb21cn</dc:creator>
  <cp:lastModifiedBy>Ton-Zhang：13903943530</cp:lastModifiedBy>
  <dcterms:modified xsi:type="dcterms:W3CDTF">2020-10-21T03:46:23Z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